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4C7" w:rsidRDefault="009D64C7" w:rsidP="009D64C7">
      <w:pPr>
        <w:pStyle w:val="1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D64C7">
        <w:rPr>
          <w:b/>
          <w:szCs w:val="28"/>
        </w:rPr>
        <w:t xml:space="preserve">  </w:t>
      </w:r>
      <w:r w:rsidRPr="003D3FD3">
        <w:rPr>
          <w:b/>
          <w:bCs/>
          <w:color w:val="000000"/>
          <w:sz w:val="28"/>
          <w:szCs w:val="28"/>
        </w:rPr>
        <w:t xml:space="preserve">АДМИНИСТРАЦИЯ </w:t>
      </w:r>
      <w:r>
        <w:rPr>
          <w:b/>
          <w:bCs/>
          <w:color w:val="000000"/>
          <w:sz w:val="28"/>
          <w:szCs w:val="28"/>
        </w:rPr>
        <w:t>НЕРЧИНСКО-ЗАВОДСКОГО</w:t>
      </w:r>
    </w:p>
    <w:p w:rsidR="009D64C7" w:rsidRPr="003D3FD3" w:rsidRDefault="009D64C7" w:rsidP="009D64C7">
      <w:pPr>
        <w:pStyle w:val="1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</w:p>
    <w:p w:rsidR="009D64C7" w:rsidRPr="003D3FD3" w:rsidRDefault="009D64C7" w:rsidP="009D64C7">
      <w:pPr>
        <w:pStyle w:val="1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ЗАБАЙКАЛЬСКОГО КРАЯ</w:t>
      </w:r>
    </w:p>
    <w:p w:rsidR="009D64C7" w:rsidRPr="003D3FD3" w:rsidRDefault="009D64C7" w:rsidP="009D64C7">
      <w:pPr>
        <w:pStyle w:val="1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 </w:t>
      </w:r>
    </w:p>
    <w:p w:rsidR="009D64C7" w:rsidRPr="003D3FD3" w:rsidRDefault="009D64C7" w:rsidP="009D64C7">
      <w:pPr>
        <w:pStyle w:val="1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ПОСТАНОВЛЕНИЕ</w:t>
      </w:r>
    </w:p>
    <w:p w:rsidR="009D64C7" w:rsidRPr="003D3FD3" w:rsidRDefault="009D64C7" w:rsidP="009D64C7">
      <w:pPr>
        <w:pStyle w:val="1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 </w:t>
      </w:r>
    </w:p>
    <w:p w:rsidR="009D64C7" w:rsidRPr="003D3FD3" w:rsidRDefault="009D64C7" w:rsidP="009D64C7">
      <w:pPr>
        <w:pStyle w:val="14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Pr="003D3FD3" w:rsidRDefault="009D64C7" w:rsidP="009D64C7">
      <w:pPr>
        <w:pStyle w:val="aff9"/>
        <w:tabs>
          <w:tab w:val="left" w:pos="708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  сентября    2026 года</w:t>
      </w:r>
      <w:r w:rsidRPr="003D3FD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 xml:space="preserve">           </w:t>
      </w:r>
      <w:r w:rsidR="006F7C2F"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 xml:space="preserve">   № </w:t>
      </w:r>
      <w:r w:rsidR="008216ED">
        <w:rPr>
          <w:color w:val="000000"/>
          <w:sz w:val="28"/>
          <w:szCs w:val="28"/>
        </w:rPr>
        <w:t>520</w:t>
      </w:r>
    </w:p>
    <w:p w:rsidR="009D64C7" w:rsidRPr="003D3FD3" w:rsidRDefault="009D64C7" w:rsidP="009D64C7">
      <w:pPr>
        <w:pStyle w:val="aff9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с.</w:t>
      </w:r>
      <w:r w:rsidR="00FE43BA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3D3FD3">
        <w:rPr>
          <w:color w:val="000000"/>
          <w:sz w:val="28"/>
          <w:szCs w:val="28"/>
        </w:rPr>
        <w:t>Нерчинский Завод</w:t>
      </w:r>
    </w:p>
    <w:p w:rsidR="009D64C7" w:rsidRPr="003D3FD3" w:rsidRDefault="009D64C7" w:rsidP="009D64C7">
      <w:pPr>
        <w:pStyle w:val="af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Pr="003D3FD3" w:rsidRDefault="009D64C7" w:rsidP="009D64C7">
      <w:pPr>
        <w:pStyle w:val="af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Default="009D64C7" w:rsidP="009D64C7">
      <w:pPr>
        <w:pStyle w:val="af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КАРТА (РЕЕСТР)</w:t>
      </w:r>
    </w:p>
    <w:p w:rsidR="009D64C7" w:rsidRDefault="006F7C2F" w:rsidP="009D64C7">
      <w:pPr>
        <w:pStyle w:val="af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</w:t>
      </w:r>
      <w:r w:rsidR="009D64C7">
        <w:rPr>
          <w:b/>
          <w:bCs/>
          <w:color w:val="000000"/>
          <w:sz w:val="28"/>
          <w:szCs w:val="28"/>
        </w:rPr>
        <w:t xml:space="preserve">оррупционных рисков, возникающих при осуществлении закупок товаров, работ, услуг для обеспечения муниципальных нужд администрации </w:t>
      </w:r>
    </w:p>
    <w:p w:rsidR="009D64C7" w:rsidRPr="003D3FD3" w:rsidRDefault="009D64C7" w:rsidP="009D64C7">
      <w:pPr>
        <w:pStyle w:val="aff9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Нерчинско-Заводского муниципального округа.</w:t>
      </w:r>
    </w:p>
    <w:p w:rsidR="009D64C7" w:rsidRPr="003D3FD3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Pr="00C165E8" w:rsidRDefault="00133A4A" w:rsidP="009D64C7">
      <w:pPr>
        <w:suppressAutoHyphens/>
        <w:spacing w:after="0" w:line="240" w:lineRule="auto"/>
        <w:ind w:left="-142"/>
        <w:jc w:val="both"/>
        <w:rPr>
          <w:rFonts w:cs="Times New Roman"/>
          <w:b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   </w:t>
      </w:r>
      <w:r w:rsidR="009D64C7" w:rsidRPr="009D64C7">
        <w:rPr>
          <w:rFonts w:cs="Times New Roman"/>
          <w:color w:val="000000"/>
          <w:sz w:val="28"/>
          <w:szCs w:val="28"/>
          <w:lang w:val="ru-RU"/>
        </w:rPr>
        <w:t>В соответствии</w:t>
      </w:r>
      <w:r w:rsidR="009D64C7" w:rsidRPr="003D3FD3">
        <w:rPr>
          <w:rFonts w:cs="Times New Roman"/>
          <w:color w:val="000000"/>
          <w:sz w:val="28"/>
          <w:szCs w:val="28"/>
        </w:rPr>
        <w:t> </w:t>
      </w:r>
      <w:r w:rsidR="009D64C7" w:rsidRPr="009D64C7">
        <w:rPr>
          <w:rFonts w:cs="Times New Roman"/>
          <w:color w:val="000000"/>
          <w:sz w:val="28"/>
          <w:szCs w:val="28"/>
          <w:lang w:val="ru-RU"/>
        </w:rPr>
        <w:t>с</w:t>
      </w:r>
      <w:r w:rsidR="009D64C7" w:rsidRPr="003D3FD3">
        <w:rPr>
          <w:rFonts w:cs="Times New Roman"/>
          <w:color w:val="000000"/>
          <w:sz w:val="28"/>
          <w:szCs w:val="28"/>
        </w:rPr>
        <w:t> </w:t>
      </w:r>
      <w:r w:rsidR="009D64C7">
        <w:rPr>
          <w:rFonts w:cs="Times New Roman"/>
          <w:color w:val="000000"/>
          <w:sz w:val="28"/>
          <w:szCs w:val="28"/>
          <w:lang w:val="ru-RU"/>
        </w:rPr>
        <w:t>ч.7 ст. 38. Федерального закона от 5 апреля 2013 года №</w:t>
      </w:r>
      <w:r>
        <w:rPr>
          <w:rFonts w:cs="Times New Roman"/>
          <w:color w:val="000000"/>
          <w:sz w:val="28"/>
          <w:szCs w:val="28"/>
          <w:lang w:val="ru-RU"/>
        </w:rPr>
        <w:t xml:space="preserve"> </w:t>
      </w:r>
      <w:r w:rsidR="009D64C7">
        <w:rPr>
          <w:rFonts w:cs="Times New Roman"/>
          <w:color w:val="000000"/>
          <w:sz w:val="28"/>
          <w:szCs w:val="28"/>
          <w:lang w:val="ru-RU"/>
        </w:rPr>
        <w:t>44-ФЗ «О контрактной системе в сфере закупок товаров, работ, услуг</w:t>
      </w:r>
      <w:r w:rsidR="00C165E8">
        <w:rPr>
          <w:rFonts w:cs="Times New Roman"/>
          <w:color w:val="000000"/>
          <w:sz w:val="28"/>
          <w:szCs w:val="28"/>
          <w:lang w:val="ru-RU"/>
        </w:rPr>
        <w:t xml:space="preserve"> для обеспечения государственных и муниципальных нужд», на основании Федерального Закона от 25.12.2008 № 273 «О противодействии коррупции», администрация Нерчинско-Заводского муниципального округа </w:t>
      </w:r>
      <w:r w:rsidR="00C165E8" w:rsidRPr="00C165E8">
        <w:rPr>
          <w:rFonts w:cs="Times New Roman"/>
          <w:b/>
          <w:color w:val="000000"/>
          <w:sz w:val="28"/>
          <w:szCs w:val="28"/>
          <w:lang w:val="ru-RU"/>
        </w:rPr>
        <w:t>постановляет:</w:t>
      </w:r>
    </w:p>
    <w:p w:rsidR="009D64C7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Default="009D64C7" w:rsidP="009D64C7">
      <w:pPr>
        <w:pStyle w:val="af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 xml:space="preserve">1.Утвердить </w:t>
      </w:r>
      <w:r w:rsidR="00C165E8">
        <w:rPr>
          <w:color w:val="000000"/>
          <w:sz w:val="28"/>
          <w:szCs w:val="28"/>
        </w:rPr>
        <w:t>КАРТУ (РЕЕСТР)  коррупционных рисков, возникающих при осуществлении  закупок товаров, работ, услуг</w:t>
      </w:r>
      <w:r w:rsidR="006F7C2F">
        <w:rPr>
          <w:color w:val="000000"/>
          <w:sz w:val="28"/>
          <w:szCs w:val="28"/>
        </w:rPr>
        <w:t xml:space="preserve"> для обеспечения муниципальных нужд администрации Нерчинско-Заводского муниципального округа.</w:t>
      </w:r>
    </w:p>
    <w:p w:rsidR="009D64C7" w:rsidRPr="009D64C7" w:rsidRDefault="009D64C7" w:rsidP="009D64C7">
      <w:pPr>
        <w:spacing w:after="0"/>
        <w:jc w:val="both"/>
        <w:rPr>
          <w:rFonts w:cs="Times New Roman"/>
          <w:sz w:val="28"/>
          <w:szCs w:val="28"/>
          <w:lang w:val="ru-RU"/>
        </w:rPr>
      </w:pPr>
      <w:r w:rsidRPr="009D64C7">
        <w:rPr>
          <w:rFonts w:cs="Times New Roman"/>
          <w:color w:val="000000"/>
          <w:sz w:val="28"/>
          <w:szCs w:val="28"/>
          <w:lang w:val="ru-RU"/>
        </w:rPr>
        <w:t>4.</w:t>
      </w:r>
      <w:r w:rsidRPr="003D3FD3">
        <w:rPr>
          <w:rFonts w:cs="Times New Roman"/>
          <w:color w:val="000000"/>
          <w:sz w:val="28"/>
          <w:szCs w:val="28"/>
        </w:rPr>
        <w:t> </w:t>
      </w:r>
      <w:r w:rsidRPr="009D64C7">
        <w:rPr>
          <w:rFonts w:cs="Times New Roman"/>
          <w:color w:val="000000"/>
          <w:sz w:val="28"/>
          <w:szCs w:val="28"/>
          <w:lang w:val="ru-RU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F44E74">
        <w:rPr>
          <w:rFonts w:cs="Times New Roman"/>
          <w:color w:val="000000"/>
          <w:sz w:val="28"/>
          <w:szCs w:val="28"/>
        </w:rPr>
        <w:t>https</w:t>
      </w:r>
      <w:r w:rsidRPr="009D64C7">
        <w:rPr>
          <w:rFonts w:cs="Times New Roman"/>
          <w:color w:val="000000"/>
          <w:sz w:val="28"/>
          <w:szCs w:val="28"/>
          <w:lang w:val="ru-RU"/>
        </w:rPr>
        <w:t>://нерзавод75.рф/.</w:t>
      </w:r>
    </w:p>
    <w:p w:rsidR="009D64C7" w:rsidRPr="003D3FD3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D64C7" w:rsidRPr="003D3FD3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Pr="003D3FD3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9D64C7" w:rsidRDefault="006F7C2F" w:rsidP="009D64C7">
      <w:pPr>
        <w:pStyle w:val="aff9"/>
        <w:tabs>
          <w:tab w:val="left" w:pos="691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Главы </w:t>
      </w:r>
      <w:r w:rsidR="009D64C7">
        <w:rPr>
          <w:color w:val="000000"/>
          <w:sz w:val="28"/>
          <w:szCs w:val="28"/>
        </w:rPr>
        <w:t xml:space="preserve"> Нерчинско-Заводского </w:t>
      </w:r>
      <w:r w:rsidR="009D64C7">
        <w:rPr>
          <w:color w:val="000000"/>
          <w:sz w:val="28"/>
          <w:szCs w:val="28"/>
        </w:rPr>
        <w:tab/>
        <w:t xml:space="preserve">            </w:t>
      </w:r>
      <w:r>
        <w:rPr>
          <w:color w:val="000000"/>
          <w:sz w:val="28"/>
          <w:szCs w:val="28"/>
        </w:rPr>
        <w:t>А.Г. Беляев</w:t>
      </w:r>
    </w:p>
    <w:p w:rsidR="009D64C7" w:rsidRPr="003D3FD3" w:rsidRDefault="009D64C7" w:rsidP="009D64C7">
      <w:pPr>
        <w:pStyle w:val="af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</w:t>
      </w:r>
    </w:p>
    <w:p w:rsidR="009D64C7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D64C7" w:rsidRDefault="009D64C7" w:rsidP="009D64C7">
      <w:pPr>
        <w:pStyle w:val="af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D64C7" w:rsidRPr="009D64C7" w:rsidRDefault="009D64C7" w:rsidP="009D64C7">
      <w:pPr>
        <w:rPr>
          <w:szCs w:val="24"/>
          <w:lang w:val="ru-RU" w:eastAsia="ar-SA"/>
        </w:rPr>
      </w:pPr>
    </w:p>
    <w:p w:rsidR="009D64C7" w:rsidRPr="009D64C7" w:rsidRDefault="009D64C7" w:rsidP="009D64C7">
      <w:pPr>
        <w:jc w:val="both"/>
        <w:rPr>
          <w:sz w:val="28"/>
          <w:szCs w:val="28"/>
          <w:lang w:val="ru-RU"/>
        </w:rPr>
      </w:pPr>
    </w:p>
    <w:p w:rsidR="009D64C7" w:rsidRPr="009D64C7" w:rsidRDefault="009D64C7" w:rsidP="009D64C7">
      <w:pPr>
        <w:jc w:val="both"/>
        <w:rPr>
          <w:sz w:val="28"/>
          <w:szCs w:val="28"/>
          <w:lang w:val="ru-RU"/>
        </w:rPr>
      </w:pPr>
    </w:p>
    <w:p w:rsidR="009D64C7" w:rsidRDefault="009D64C7">
      <w:pPr>
        <w:jc w:val="right"/>
        <w:rPr>
          <w:rFonts w:cs="Times New Roman"/>
          <w:sz w:val="28"/>
          <w:szCs w:val="28"/>
          <w:lang w:val="ru-RU"/>
        </w:rPr>
      </w:pPr>
    </w:p>
    <w:p w:rsidR="00BF6CB4" w:rsidRPr="00AE393B" w:rsidRDefault="00AE393B">
      <w:pPr>
        <w:jc w:val="right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sz w:val="28"/>
          <w:szCs w:val="28"/>
          <w:lang w:val="ru-RU"/>
        </w:rPr>
        <w:lastRenderedPageBreak/>
        <w:t>Приложение</w:t>
      </w:r>
      <w:r w:rsidRPr="00AE393B">
        <w:rPr>
          <w:rFonts w:cs="Times New Roman"/>
          <w:sz w:val="28"/>
          <w:szCs w:val="28"/>
          <w:lang w:val="ru-RU"/>
        </w:rPr>
        <w:br/>
        <w:t>к постановлению администрации</w:t>
      </w:r>
      <w:r w:rsidRPr="00AE393B">
        <w:rPr>
          <w:rFonts w:cs="Times New Roman"/>
          <w:sz w:val="28"/>
          <w:szCs w:val="28"/>
          <w:lang w:val="ru-RU"/>
        </w:rPr>
        <w:br/>
        <w:t>Нерчинско-Заводс</w:t>
      </w:r>
      <w:r w:rsidR="009D64C7">
        <w:rPr>
          <w:rFonts w:cs="Times New Roman"/>
          <w:sz w:val="28"/>
          <w:szCs w:val="28"/>
          <w:lang w:val="ru-RU"/>
        </w:rPr>
        <w:t>кого муниципального округа</w:t>
      </w:r>
      <w:r w:rsidR="009D64C7">
        <w:rPr>
          <w:rFonts w:cs="Times New Roman"/>
          <w:sz w:val="28"/>
          <w:szCs w:val="28"/>
          <w:lang w:val="ru-RU"/>
        </w:rPr>
        <w:br/>
        <w:t xml:space="preserve">от «29»  сентября </w:t>
      </w:r>
      <w:r w:rsidRPr="00AE393B">
        <w:rPr>
          <w:rFonts w:cs="Times New Roman"/>
          <w:sz w:val="28"/>
          <w:szCs w:val="28"/>
          <w:lang w:val="ru-RU"/>
        </w:rPr>
        <w:t xml:space="preserve"> 2026 г. № </w:t>
      </w:r>
      <w:r w:rsidR="008216ED">
        <w:rPr>
          <w:rFonts w:cs="Times New Roman"/>
          <w:sz w:val="28"/>
          <w:szCs w:val="28"/>
          <w:lang w:val="ru-RU"/>
        </w:rPr>
        <w:t>520</w:t>
      </w:r>
    </w:p>
    <w:p w:rsidR="009D64C7" w:rsidRDefault="009D64C7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BF6CB4" w:rsidRPr="00AE393B" w:rsidRDefault="00AE393B">
      <w:pPr>
        <w:jc w:val="center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b/>
          <w:sz w:val="28"/>
          <w:szCs w:val="28"/>
          <w:lang w:val="ru-RU"/>
        </w:rPr>
        <w:t>КАРТА (РЕЕСТР)</w:t>
      </w:r>
      <w:r w:rsidRPr="00AE393B">
        <w:rPr>
          <w:rFonts w:cs="Times New Roman"/>
          <w:b/>
          <w:sz w:val="28"/>
          <w:szCs w:val="28"/>
          <w:lang w:val="ru-RU"/>
        </w:rPr>
        <w:br/>
        <w:t>коррупционных рисков, возникающих при осуществлении закупок товаров, работ, услуг</w:t>
      </w:r>
      <w:r w:rsidRPr="00AE393B">
        <w:rPr>
          <w:rFonts w:cs="Times New Roman"/>
          <w:b/>
          <w:sz w:val="28"/>
          <w:szCs w:val="28"/>
          <w:lang w:val="ru-RU"/>
        </w:rPr>
        <w:br/>
        <w:t>для обеспечения муниципальных нужд администрации</w:t>
      </w:r>
      <w:r w:rsidRPr="00AE393B">
        <w:rPr>
          <w:rFonts w:cs="Times New Roman"/>
          <w:b/>
          <w:sz w:val="28"/>
          <w:szCs w:val="28"/>
          <w:lang w:val="ru-RU"/>
        </w:rPr>
        <w:br/>
        <w:t>Нерчинско-Заводского муниципального округа, и мер по их минимизации</w:t>
      </w:r>
    </w:p>
    <w:p w:rsidR="00BF6CB4" w:rsidRPr="00AE393B" w:rsidRDefault="00AE393B">
      <w:pPr>
        <w:spacing w:after="60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sz w:val="28"/>
          <w:szCs w:val="28"/>
          <w:u w:val="single"/>
          <w:lang w:val="ru-RU"/>
        </w:rPr>
        <w:t>Основание:</w:t>
      </w:r>
    </w:p>
    <w:p w:rsidR="00BF6CB4" w:rsidRPr="00AE393B" w:rsidRDefault="00AE393B">
      <w:pPr>
        <w:spacing w:after="20"/>
        <w:ind w:left="397" w:hanging="227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sz w:val="28"/>
          <w:szCs w:val="28"/>
          <w:lang w:val="ru-RU"/>
        </w:rPr>
        <w:t>– часть 7 статьи 38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BF6CB4" w:rsidRPr="00AE393B" w:rsidRDefault="00AE393B">
      <w:pPr>
        <w:spacing w:after="20"/>
        <w:ind w:left="397" w:hanging="227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sz w:val="28"/>
          <w:szCs w:val="28"/>
          <w:lang w:val="ru-RU"/>
        </w:rPr>
        <w:t>– Федеральный закон от 25.12.2008 № 273-ФЗ «О противодействии коррупции»;</w:t>
      </w:r>
    </w:p>
    <w:p w:rsidR="00BF6CB4" w:rsidRPr="00AE393B" w:rsidRDefault="00AE393B">
      <w:pPr>
        <w:spacing w:after="20"/>
        <w:ind w:left="397" w:hanging="227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sz w:val="28"/>
          <w:szCs w:val="28"/>
          <w:lang w:val="ru-RU"/>
        </w:rPr>
        <w:t>– Методические рекомендации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размещенные Минтрудом России.</w:t>
      </w:r>
    </w:p>
    <w:p w:rsidR="00BF6CB4" w:rsidRPr="00AE393B" w:rsidRDefault="00AE393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sz w:val="28"/>
          <w:szCs w:val="28"/>
          <w:lang w:val="ru-RU"/>
        </w:rPr>
        <w:t>Руководитель заказчика, руководитель контрактной службы, работники контрактной службы, контрактный управляющий, а также иные лица, участвующие в осуществлении закупок, в пределах предоставленных полномочий принимают меры по предупреждению коррупционных проявлений, выявлению личной заинтересованности, предотвращению и урегулированию конфликта интересов.</w:t>
      </w:r>
    </w:p>
    <w:p w:rsidR="00BF6CB4" w:rsidRPr="00AE393B" w:rsidRDefault="00BF6CB4">
      <w:pPr>
        <w:rPr>
          <w:rFonts w:cs="Times New Roman"/>
          <w:sz w:val="28"/>
          <w:szCs w:val="28"/>
          <w:lang w:val="ru-RU"/>
        </w:rPr>
        <w:sectPr w:rsidR="00BF6CB4" w:rsidRPr="00AE393B">
          <w:pgSz w:w="12240" w:h="15840"/>
          <w:pgMar w:top="850" w:right="850" w:bottom="850" w:left="964" w:header="720" w:footer="720" w:gutter="0"/>
          <w:cols w:space="720"/>
          <w:docGrid w:linePitch="360"/>
        </w:sect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17"/>
        <w:gridCol w:w="2033"/>
        <w:gridCol w:w="2438"/>
        <w:gridCol w:w="3402"/>
        <w:gridCol w:w="3061"/>
        <w:gridCol w:w="3742"/>
      </w:tblGrid>
      <w:tr w:rsidR="00BF6CB4" w:rsidRPr="00AE393B">
        <w:trPr>
          <w:tblHeader/>
          <w:jc w:val="center"/>
        </w:trPr>
        <w:tc>
          <w:tcPr>
            <w:tcW w:w="567" w:type="dxa"/>
            <w:vAlign w:val="center"/>
          </w:tcPr>
          <w:p w:rsidR="00BF6CB4" w:rsidRPr="00AE393B" w:rsidRDefault="00AE393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b/>
                <w:sz w:val="28"/>
                <w:szCs w:val="28"/>
              </w:rPr>
              <w:lastRenderedPageBreak/>
              <w:t>№</w:t>
            </w:r>
            <w:r w:rsidRPr="00AE393B">
              <w:rPr>
                <w:rFonts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1928" w:type="dxa"/>
            <w:vAlign w:val="center"/>
          </w:tcPr>
          <w:p w:rsidR="00BF6CB4" w:rsidRPr="00AE393B" w:rsidRDefault="00AE393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b/>
                <w:sz w:val="28"/>
                <w:szCs w:val="28"/>
              </w:rPr>
              <w:t>Этап (процедура) закупки</w:t>
            </w:r>
          </w:p>
        </w:tc>
        <w:tc>
          <w:tcPr>
            <w:tcW w:w="2438" w:type="dxa"/>
            <w:vAlign w:val="center"/>
          </w:tcPr>
          <w:p w:rsidR="00BF6CB4" w:rsidRPr="00AE393B" w:rsidRDefault="00AE393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b/>
                <w:sz w:val="28"/>
                <w:szCs w:val="28"/>
              </w:rPr>
              <w:t>Должностные лица / участники процесса</w:t>
            </w:r>
          </w:p>
        </w:tc>
        <w:tc>
          <w:tcPr>
            <w:tcW w:w="3402" w:type="dxa"/>
            <w:vAlign w:val="center"/>
          </w:tcPr>
          <w:p w:rsidR="00BF6CB4" w:rsidRPr="00AE393B" w:rsidRDefault="00AE393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b/>
                <w:sz w:val="28"/>
                <w:szCs w:val="28"/>
              </w:rPr>
              <w:t>Возможные коррупционные риски</w:t>
            </w:r>
          </w:p>
        </w:tc>
        <w:tc>
          <w:tcPr>
            <w:tcW w:w="3061" w:type="dxa"/>
            <w:vAlign w:val="center"/>
          </w:tcPr>
          <w:p w:rsidR="00BF6CB4" w:rsidRPr="00AE393B" w:rsidRDefault="00AE393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b/>
                <w:sz w:val="28"/>
                <w:szCs w:val="28"/>
              </w:rPr>
              <w:t>Индикаторы риска</w:t>
            </w:r>
          </w:p>
        </w:tc>
        <w:tc>
          <w:tcPr>
            <w:tcW w:w="3742" w:type="dxa"/>
            <w:vAlign w:val="center"/>
          </w:tcPr>
          <w:p w:rsidR="00BF6CB4" w:rsidRPr="00AE393B" w:rsidRDefault="00AE393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b/>
                <w:sz w:val="28"/>
                <w:szCs w:val="28"/>
              </w:rPr>
              <w:t>Меры по минимизации риска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Планирование закупок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 заказчика; контрактная служба; контрактный управляющий; инициатор закупки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Включение необоснованных или избыточных закупок; формирование потребности под конкретного поставщика; искусственное дробление закупок.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Повторяющиеся однотипные закупки; отсутствие объективного обоснования потребности; закупки у одних и тех же контрагентов; дробление однородной потребности.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Документальное обоснование потребности; разграничение полномочий; внутреннее согласование; контроль плана-графика; правовая и финансовая проверка.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Определение и обоснование НМЦК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Контрактная служба; контрактный управляющий; профильное структурное подразделение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Завышение или занижение НМЦК; использование недостоверной ценовой информации; подбор источников в интересах определенного поставщика.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Существенное отклонение НМЦК от рыночного уровня; использование ограниченного числа источников; идентичные либо формальные коммерческие предложения.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Анализ рынка; использование нескольких независимых источников; документирование расчета и источников; внутренний финансовый контроль.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Подготовка описания объекта закупки и проекта контракта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Контрактная служба; контрактный управляющий; профильные специалисты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Установление дискриминационных требований; указание характеристик конкретного производителя без оснований; создание преимуществ отдельному участнику.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 xml:space="preserve">Чрезмерно узкие характеристики; отсутствие возможности эквивалента в предусмотренных законом случаях; жалобы и запросы участников; </w:t>
            </w:r>
            <w:r w:rsidRPr="00AE393B">
              <w:rPr>
                <w:rFonts w:cs="Times New Roman"/>
                <w:sz w:val="28"/>
                <w:szCs w:val="28"/>
                <w:lang w:val="ru-RU"/>
              </w:rPr>
              <w:lastRenderedPageBreak/>
              <w:t>требования, не связанные с предметом закупки.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lastRenderedPageBreak/>
              <w:t>Проверка требований на соответствие законодательству; использование типовых условий; юридическая экспертиза; коллегиальное согласование технического задания.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Выбор способа определения поставщика (подрядчика, исполнителя)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 заказчика; контрактная служба; контрактный управляющий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Необоснованный выбор неконкурентного способа; неправомерная закупка у единственного поставщика; ограничение конкуренции.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Систематическое применение закупок у единственного поставщика; отсутствие надлежащего обоснования; дробление закупок для ухода от конкурентной процедуры.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Письменное обоснование способа закупки; контроль оснований применения закупки у единственного поставщика; правовая проверка; контроль со стороны руководителя.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Работа комиссии и рассмотрение заявок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Члены комиссии по осуществлению закупок; иные привлеченные эксперты в пределах полномочий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Предоставление преимуществ отдельным участникам; необоснованное отклонение или допуск заявок; разглашение информации; конфликт интересов.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Неодинаковый подход к сопоставимым заявкам; отклонения по формальным основаниям; наличие связей или личной заинтересованности; обоснованные жалобы участников.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Коллегиальность; проверка отсутствия конфликта интересов; замена члена комиссии при наличии установленных законом обстоятельств; протоколирование решений; правовой контроль.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Заключение контракта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 заказчика; контрактная служба; контрактный управляющий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Заключение контракта на условиях, отличающихся от результатов закупки; неправомерное изменение условий; сговор с контрагентом; нарушение сроков.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 xml:space="preserve">Необъяснимые расхождения между извещением, заявкой и контрактом; неоднократные корректировки; нарушения сроков </w:t>
            </w:r>
            <w:r w:rsidRPr="00AE393B">
              <w:rPr>
                <w:rFonts w:cs="Times New Roman"/>
                <w:sz w:val="28"/>
                <w:szCs w:val="28"/>
                <w:lang w:val="ru-RU"/>
              </w:rPr>
              <w:lastRenderedPageBreak/>
              <w:t>заключения.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lastRenderedPageBreak/>
              <w:t>Сверка условий контракта с результатами закупки; юридическая экспертиза; контроль полномочий подписанта; соблюдение установленных сроков.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Приемка товаров, работ, услуг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Приемочная комиссия; ответственные должностные лица; эксперты; контрактный управляющий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Приемка некачественного или не соответствующего контракту результата; завышение объемов; подписание документов без фактической проверки; сокрытие недостатков.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Несоответствие фактических объемов и характеристик условиям контракта; отсутствие подтверждающих документов; повторные нарушения одного контрагента; формальная приемка.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 xml:space="preserve">Фактическая и документальная проверка результата; </w:t>
            </w:r>
            <w:proofErr w:type="spellStart"/>
            <w:r w:rsidRPr="00AE393B">
              <w:rPr>
                <w:rFonts w:cs="Times New Roman"/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AE393B">
              <w:rPr>
                <w:rFonts w:cs="Times New Roman"/>
                <w:sz w:val="28"/>
                <w:szCs w:val="28"/>
                <w:lang w:val="ru-RU"/>
              </w:rPr>
              <w:t xml:space="preserve"> при необходимости; экспертиза; участие профильных специалистов; мотивированный отказ от приемки при нарушениях.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Оплата по контракту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Руководитель; финансовое подразделение; контрактный управляющий; ответственные исполнители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Оплата не</w:t>
            </w:r>
            <w:r w:rsidR="006F7C2F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AE393B">
              <w:rPr>
                <w:rFonts w:cs="Times New Roman"/>
                <w:sz w:val="28"/>
                <w:szCs w:val="28"/>
                <w:lang w:val="ru-RU"/>
              </w:rPr>
              <w:t>поставленных товаров, невыполненных работ или не</w:t>
            </w:r>
            <w:r w:rsidR="006F7C2F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AE393B">
              <w:rPr>
                <w:rFonts w:cs="Times New Roman"/>
                <w:sz w:val="28"/>
                <w:szCs w:val="28"/>
                <w:lang w:val="ru-RU"/>
              </w:rPr>
              <w:t>оказанных услуг; оплата завышенных объемов; необоснованное ускорение или задержка платежей.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Платежи при отсутствии надлежащих документов о приемке; расхождения между актами и счетами; неоднократные корректировки платежных документов.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Оплата только после подтвержденной приемки; финансовый контроль; сверка первичных документов и сведений об исполнении контракта; разграничение функций приемки и оплаты.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Изменение условий контракта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 заказчика; контрактная служба; контрактный управляющий; профильные подразделения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Необоснованное изменение цены, объема, сроков или иных существенных условий; создание преимуществ поставщику после определения победителя.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Частые дополнительные соглашения; увеличение цены или сроков без очевидных оснований; изменение характеристик результата исполнения.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Проверка наличия предусмотренного законом основания; письменное обоснование; юридическая и финансовая экспертиза; контроль соответствия изменений требованиям Закона № 44-ФЗ.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Претензионная работа, применение неустоек и расторжение контракта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Руководитель; контрактная служба; контрактный управляющий; юридическое подразделение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Неприменение мер ответственности к отдельному контрагенту; необоснованный отказ от претензий; затягивание расторжения; выборочное взыскание неустойки.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Нарушения контрагента без претензионной работы; несоразмерные различия в реагировании на сходные нарушения; длительное отсутствие решений по просрочке.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Обязательная фиксация нарушений; своевременный расчет и предъявление неустойки; правовая оценка оснований расторжения; контроль руководителя за претензионной работой.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Закупки у единственного поставщика (подрядчика, исполнителя)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 заказчика; контрактная служба; контрактный управляющий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 xml:space="preserve">Использование основания закупки у единственного поставщика в обход конкурентных процедур; </w:t>
            </w:r>
            <w:proofErr w:type="spellStart"/>
            <w:r w:rsidRPr="00AE393B">
              <w:rPr>
                <w:rFonts w:cs="Times New Roman"/>
                <w:sz w:val="28"/>
                <w:szCs w:val="28"/>
                <w:lang w:val="ru-RU"/>
              </w:rPr>
              <w:t>аффилированность</w:t>
            </w:r>
            <w:proofErr w:type="spellEnd"/>
            <w:r w:rsidRPr="00AE393B">
              <w:rPr>
                <w:rFonts w:cs="Times New Roman"/>
                <w:sz w:val="28"/>
                <w:szCs w:val="28"/>
                <w:lang w:val="ru-RU"/>
              </w:rPr>
              <w:t xml:space="preserve"> или личная заинтересованность; завышение цены.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Высокая доля таких закупок; регулярные контракты с одним контрагентом; дробление закупок; отсутствие убедительного расчета цены.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Проверка правового основания; анализ цены; контроль совокупности однотипных закупок; проверка конфликта интересов; документирование причин выбора контрагента.</w:t>
            </w:r>
          </w:p>
        </w:tc>
      </w:tr>
      <w:tr w:rsidR="00BF6CB4" w:rsidRPr="00FE43BA">
        <w:trPr>
          <w:jc w:val="center"/>
        </w:trPr>
        <w:tc>
          <w:tcPr>
            <w:tcW w:w="567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</w:rPr>
            </w:pPr>
            <w:r w:rsidRPr="00AE393B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192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Контроль исполнения и закрытие контракта</w:t>
            </w:r>
          </w:p>
        </w:tc>
        <w:tc>
          <w:tcPr>
            <w:tcW w:w="2438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Руководитель; контрактная служба; контрактный управляющий; финансовое и профильное подразделения</w:t>
            </w:r>
          </w:p>
        </w:tc>
        <w:tc>
          <w:tcPr>
            <w:tcW w:w="340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Сокрытие нарушений исполнения; внесение недостоверных сведений; неприменение предусмотренных контрактом мер; формальное закрытие обязательств.</w:t>
            </w:r>
          </w:p>
        </w:tc>
        <w:tc>
          <w:tcPr>
            <w:tcW w:w="3061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Несоответствие документов фактическому исполнению; отсутствие подтверждения устранения недостатков; неоднократное продление фактических сроков без оснований.</w:t>
            </w:r>
          </w:p>
        </w:tc>
        <w:tc>
          <w:tcPr>
            <w:tcW w:w="3742" w:type="dxa"/>
          </w:tcPr>
          <w:p w:rsidR="00BF6CB4" w:rsidRPr="00AE393B" w:rsidRDefault="00AE39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E393B">
              <w:rPr>
                <w:rFonts w:cs="Times New Roman"/>
                <w:sz w:val="28"/>
                <w:szCs w:val="28"/>
                <w:lang w:val="ru-RU"/>
              </w:rPr>
              <w:t>Ведение полного комплекта документов; периодический внутренний контроль; сопоставление сведений ЕИС и первичных документов; документирование результатов исполнения.</w:t>
            </w:r>
          </w:p>
        </w:tc>
      </w:tr>
    </w:tbl>
    <w:p w:rsidR="00BF6CB4" w:rsidRPr="00AE393B" w:rsidRDefault="00AE393B">
      <w:pPr>
        <w:spacing w:before="100"/>
        <w:rPr>
          <w:rFonts w:cs="Times New Roman"/>
          <w:sz w:val="28"/>
          <w:szCs w:val="28"/>
          <w:lang w:val="ru-RU"/>
        </w:rPr>
      </w:pPr>
      <w:r w:rsidRPr="00AE393B">
        <w:rPr>
          <w:rFonts w:cs="Times New Roman"/>
          <w:b/>
          <w:sz w:val="28"/>
          <w:szCs w:val="28"/>
          <w:lang w:val="ru-RU"/>
        </w:rPr>
        <w:lastRenderedPageBreak/>
        <w:t xml:space="preserve">Примечание. </w:t>
      </w:r>
      <w:r w:rsidRPr="00AE393B">
        <w:rPr>
          <w:rFonts w:cs="Times New Roman"/>
          <w:sz w:val="28"/>
          <w:szCs w:val="28"/>
          <w:lang w:val="ru-RU"/>
        </w:rPr>
        <w:t>Карта (реестр) подлежит актуализации при изменении законодательства, структуры и полномочий заказчика, порядка осуществления закупок, а также при выявлении новых коррупционных рисков. Ответственные должностные лица обязаны незамедлительно сообщать о возникновении личной заинтересованности или конфликта интересов в установленном порядке.</w:t>
      </w:r>
    </w:p>
    <w:sectPr w:rsidR="00BF6CB4" w:rsidRPr="00AE393B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3A4A"/>
    <w:rsid w:val="0015074B"/>
    <w:rsid w:val="0029639D"/>
    <w:rsid w:val="00326F90"/>
    <w:rsid w:val="00441C1F"/>
    <w:rsid w:val="006F7C2F"/>
    <w:rsid w:val="008216ED"/>
    <w:rsid w:val="009D64C7"/>
    <w:rsid w:val="00AA1D8D"/>
    <w:rsid w:val="00AE393B"/>
    <w:rsid w:val="00B47730"/>
    <w:rsid w:val="00BF6CB4"/>
    <w:rsid w:val="00C165E8"/>
    <w:rsid w:val="00CB0664"/>
    <w:rsid w:val="00FC693F"/>
    <w:rsid w:val="00F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9D64C7"/>
    <w:rPr>
      <w:color w:val="0000FF"/>
      <w:u w:val="single"/>
    </w:rPr>
  </w:style>
  <w:style w:type="paragraph" w:customStyle="1" w:styleId="14">
    <w:name w:val="Название1"/>
    <w:basedOn w:val="a1"/>
    <w:rsid w:val="009D64C7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paragraph" w:styleId="aff9">
    <w:name w:val="Normal (Web)"/>
    <w:basedOn w:val="a1"/>
    <w:uiPriority w:val="99"/>
    <w:unhideWhenUsed/>
    <w:rsid w:val="009D64C7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paragraph" w:styleId="affa">
    <w:name w:val="Balloon Text"/>
    <w:basedOn w:val="a1"/>
    <w:link w:val="affb"/>
    <w:uiPriority w:val="99"/>
    <w:semiHidden/>
    <w:unhideWhenUsed/>
    <w:rsid w:val="0082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8216E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9D64C7"/>
    <w:rPr>
      <w:color w:val="0000FF"/>
      <w:u w:val="single"/>
    </w:rPr>
  </w:style>
  <w:style w:type="paragraph" w:customStyle="1" w:styleId="14">
    <w:name w:val="Название1"/>
    <w:basedOn w:val="a1"/>
    <w:rsid w:val="009D64C7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paragraph" w:styleId="aff9">
    <w:name w:val="Normal (Web)"/>
    <w:basedOn w:val="a1"/>
    <w:uiPriority w:val="99"/>
    <w:unhideWhenUsed/>
    <w:rsid w:val="009D64C7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paragraph" w:styleId="affa">
    <w:name w:val="Balloon Text"/>
    <w:basedOn w:val="a1"/>
    <w:link w:val="affb"/>
    <w:uiPriority w:val="99"/>
    <w:semiHidden/>
    <w:unhideWhenUsed/>
    <w:rsid w:val="0082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8216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7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ACB120-CCD5-45E9-BDB2-C5BB8832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1465</Words>
  <Characters>8355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sborka</Company>
  <LinksUpToDate>false</LinksUpToDate>
  <CharactersWithSpaces>9801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Консультант</cp:lastModifiedBy>
  <cp:revision>5</cp:revision>
  <cp:lastPrinted>2026-09-29T02:15:00Z</cp:lastPrinted>
  <dcterms:created xsi:type="dcterms:W3CDTF">2026-09-29T00:45:00Z</dcterms:created>
  <dcterms:modified xsi:type="dcterms:W3CDTF">2026-10-05T06:02:00Z</dcterms:modified>
</cp:coreProperties>
</file>