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3" w:rsidRPr="00785F23" w:rsidRDefault="00785F23" w:rsidP="00785F2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="006C14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 w:rsidR="006C14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85F23" w:rsidRPr="00785F23" w:rsidRDefault="00785F23" w:rsidP="00785F2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 w:rsidR="006C14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 w:rsidR="006C14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785F23" w:rsidRPr="00785F23" w:rsidRDefault="006C147C" w:rsidP="00785F2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5F23"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5F23" w:rsidRPr="00785F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785F23">
        <w:rPr>
          <w:sz w:val="28"/>
          <w:szCs w:val="28"/>
        </w:rPr>
        <w:t>06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декабря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649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5F23">
        <w:rPr>
          <w:b/>
          <w:bCs/>
          <w:sz w:val="28"/>
          <w:szCs w:val="28"/>
        </w:rPr>
        <w:t>2.</w:t>
      </w:r>
      <w:r w:rsidR="006C147C">
        <w:rPr>
          <w:b/>
          <w:bCs/>
          <w:sz w:val="28"/>
          <w:szCs w:val="28"/>
        </w:rPr>
        <w:t xml:space="preserve"> </w:t>
      </w:r>
      <w:r w:rsidRPr="00785F23">
        <w:rPr>
          <w:b/>
          <w:bCs/>
          <w:sz w:val="28"/>
          <w:szCs w:val="28"/>
        </w:rPr>
        <w:t>СТАНДАРТ</w:t>
      </w:r>
      <w:r w:rsidR="006C147C">
        <w:rPr>
          <w:b/>
          <w:bCs/>
          <w:sz w:val="28"/>
          <w:szCs w:val="28"/>
        </w:rPr>
        <w:t xml:space="preserve"> </w:t>
      </w:r>
      <w:r w:rsidRPr="00785F23">
        <w:rPr>
          <w:b/>
          <w:bCs/>
          <w:sz w:val="28"/>
          <w:szCs w:val="28"/>
        </w:rPr>
        <w:t>ПРЕДОСТАВЛЕНИЯ</w:t>
      </w:r>
      <w:r w:rsidR="006C147C">
        <w:rPr>
          <w:b/>
          <w:bCs/>
          <w:sz w:val="28"/>
          <w:szCs w:val="28"/>
        </w:rPr>
        <w:t xml:space="preserve"> </w:t>
      </w:r>
      <w:r w:rsidRPr="00785F23">
        <w:rPr>
          <w:b/>
          <w:bCs/>
          <w:sz w:val="28"/>
          <w:szCs w:val="28"/>
        </w:rPr>
        <w:t>МУНИЦИПАЛЬНОЙ</w:t>
      </w:r>
      <w:r w:rsidR="006C147C">
        <w:rPr>
          <w:b/>
          <w:bCs/>
          <w:sz w:val="28"/>
          <w:szCs w:val="28"/>
        </w:rPr>
        <w:t xml:space="preserve"> </w:t>
      </w:r>
      <w:r w:rsidRPr="00785F23">
        <w:rPr>
          <w:b/>
          <w:bCs/>
          <w:sz w:val="28"/>
          <w:szCs w:val="28"/>
        </w:rPr>
        <w:t>УСЛУГИ</w:t>
      </w:r>
    </w:p>
    <w:p w:rsidR="00785F23" w:rsidRPr="00785F23" w:rsidRDefault="006C147C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85F23">
        <w:rPr>
          <w:b/>
          <w:sz w:val="28"/>
          <w:szCs w:val="28"/>
        </w:rPr>
        <w:t>Наименование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муниципальной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9.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регулируется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настоящим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Административным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регламентом,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именуется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«Прием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выдача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помещения».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Наименование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предоставляющего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муниципальную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услугу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10.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осуществляется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Администрацией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«Нерчинско-Заводский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район»</w:t>
      </w:r>
      <w:r w:rsidR="006C147C">
        <w:rPr>
          <w:i/>
          <w:iCs/>
          <w:sz w:val="28"/>
          <w:szCs w:val="28"/>
        </w:rPr>
        <w:t xml:space="preserve"> </w:t>
      </w:r>
      <w:r w:rsidRPr="00785F23">
        <w:rPr>
          <w:sz w:val="28"/>
          <w:szCs w:val="28"/>
        </w:rPr>
        <w:t>непосредственно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муниципальную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предоставляет</w:t>
      </w:r>
      <w:r w:rsidR="006C147C">
        <w:rPr>
          <w:i/>
          <w:iCs/>
          <w:sz w:val="28"/>
          <w:szCs w:val="28"/>
        </w:rPr>
        <w:t xml:space="preserve"> </w:t>
      </w:r>
      <w:r w:rsidRPr="00785F23">
        <w:rPr>
          <w:sz w:val="28"/>
          <w:szCs w:val="28"/>
        </w:rPr>
        <w:t>главный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специалист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архитектор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«Нерчинско-Заводский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(далее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–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Исполнитель).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85F23">
        <w:rPr>
          <w:b/>
          <w:sz w:val="28"/>
          <w:szCs w:val="28"/>
        </w:rPr>
        <w:t>Описание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результата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предоставления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муниципальной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Результатом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принятие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Администрацией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«Нерчинско-Заводский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район»</w:t>
      </w:r>
      <w:r w:rsidR="006C147C">
        <w:rPr>
          <w:i/>
          <w:iCs/>
          <w:sz w:val="28"/>
          <w:szCs w:val="28"/>
        </w:rPr>
        <w:t xml:space="preserve"> </w:t>
      </w:r>
      <w:r w:rsidRPr="00785F23">
        <w:rPr>
          <w:sz w:val="28"/>
          <w:szCs w:val="28"/>
        </w:rPr>
        <w:t>одного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следующих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решений: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F23">
        <w:rPr>
          <w:sz w:val="28"/>
          <w:szCs w:val="28"/>
        </w:rPr>
        <w:t>11.1.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помещения;</w:t>
      </w:r>
      <w:proofErr w:type="gramEnd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11.2.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отказе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Процедура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завершается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одного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следующих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F23">
        <w:rPr>
          <w:sz w:val="28"/>
          <w:szCs w:val="28"/>
        </w:rPr>
        <w:t>12.1.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постановления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«Нерчинско-Заводский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район»</w:t>
      </w:r>
      <w:r w:rsidR="006C147C">
        <w:rPr>
          <w:i/>
          <w:iCs/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помещения;</w:t>
      </w:r>
      <w:proofErr w:type="gramEnd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12.2.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уведомления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«Нерчинско-Заводский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район»</w:t>
      </w:r>
      <w:r w:rsidR="006C147C">
        <w:rPr>
          <w:i/>
          <w:iCs/>
          <w:sz w:val="28"/>
          <w:szCs w:val="28"/>
        </w:rPr>
        <w:t xml:space="preserve"> </w:t>
      </w:r>
      <w:r w:rsidRPr="00785F23">
        <w:rPr>
          <w:sz w:val="28"/>
          <w:szCs w:val="28"/>
        </w:rPr>
        <w:t>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отказе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помещения.</w:t>
      </w:r>
    </w:p>
    <w:p w:rsidR="00785F23" w:rsidRPr="00785F23" w:rsidRDefault="00785F23" w:rsidP="00785F23">
      <w:pPr>
        <w:pStyle w:val="bodytextinden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85F23">
        <w:rPr>
          <w:b/>
          <w:sz w:val="28"/>
          <w:szCs w:val="28"/>
        </w:rPr>
        <w:t>Срок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предоставления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муниципальной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позднее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45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дней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момента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нормативных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правовых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регулирующих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отношения,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возникающие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связи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осуществляется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нормативными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правовыми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актами: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proofErr w:type="gramStart"/>
        <w:r w:rsidRPr="00785F23">
          <w:rPr>
            <w:rStyle w:val="hyperlink"/>
            <w:sz w:val="28"/>
            <w:szCs w:val="28"/>
          </w:rPr>
          <w:t>Конституцией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Российской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Федерации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(принятой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всенародным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голосованием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декабря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1993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учетом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поправок,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внесенных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поправках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hyperlink r:id="rId5" w:tgtFrame="_blank" w:history="1">
        <w:r w:rsidRPr="00785F23">
          <w:rPr>
            <w:rStyle w:val="hyperlink"/>
            <w:sz w:val="28"/>
            <w:szCs w:val="28"/>
          </w:rPr>
          <w:t>Конституции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Российской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Федерации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lastRenderedPageBreak/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декабря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6-ФКЗ,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декабря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7-ФКЗ)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7,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января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года);</w:t>
      </w:r>
      <w:proofErr w:type="gramEnd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785F23">
          <w:rPr>
            <w:rStyle w:val="hyperlink"/>
            <w:sz w:val="28"/>
            <w:szCs w:val="28"/>
          </w:rPr>
          <w:t>Гражданским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кодексом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Российской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Федерации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декабря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1994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32,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ст.3301;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января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1996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5,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ст.410);</w:t>
      </w:r>
    </w:p>
    <w:p w:rsidR="00785F23" w:rsidRPr="00785F23" w:rsidRDefault="00785F23" w:rsidP="00785F23">
      <w:pPr>
        <w:pStyle w:val="a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gtFrame="_blank" w:history="1">
        <w:r w:rsidRPr="00785F23">
          <w:rPr>
            <w:rStyle w:val="hyperlink"/>
            <w:sz w:val="28"/>
            <w:szCs w:val="28"/>
          </w:rPr>
          <w:t>Жилищным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кодексом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Российской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Федерации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января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«Парламентская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января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7-8,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января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(часть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I)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14);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8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апреля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2011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63-ФЗ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подписи»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апреля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75);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9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27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июля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2010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210-ФЗ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июля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168)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(далее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–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Федеральный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210-ФЗ);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10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9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февраля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2009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8-ФЗ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обеспечении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деятельности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февраля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25);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11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27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июля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152-ФЗ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персональных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данных»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июля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165);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12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27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июля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149-ФЗ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технологиях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защите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июля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165);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13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мая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59-ФЗ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рассмотрения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95);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Федеральным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hyperlink r:id="rId14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октября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2003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131-ФЗ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принципах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октября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40,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ст.3822);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Законом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15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27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апреля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1993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4866-1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обжаловании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суд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действий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решений,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нарушающих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свободы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1993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89);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</w:t>
      </w:r>
      <w:r w:rsidR="006C147C">
        <w:rPr>
          <w:sz w:val="28"/>
          <w:szCs w:val="28"/>
        </w:rPr>
        <w:t xml:space="preserve"> </w:t>
      </w:r>
      <w:hyperlink r:id="rId16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21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января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25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пользования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помещениями»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30.01.2006,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N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5,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546);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history="1">
        <w:proofErr w:type="gramStart"/>
        <w:r w:rsidRPr="00785F23">
          <w:rPr>
            <w:rStyle w:val="a4"/>
            <w:color w:val="auto"/>
            <w:sz w:val="28"/>
            <w:szCs w:val="28"/>
          </w:rPr>
          <w:t>постановлением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апреля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266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подтверждающего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принятие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решения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(опубликовано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газете»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06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95,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Собрании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09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19,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1812);</w:t>
      </w:r>
      <w:proofErr w:type="gramEnd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history="1">
        <w:r w:rsidRPr="00785F23">
          <w:rPr>
            <w:rStyle w:val="a4"/>
            <w:color w:val="auto"/>
            <w:sz w:val="28"/>
            <w:szCs w:val="28"/>
          </w:rPr>
          <w:t>постановлением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комитета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строительству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жилищно-коммунальному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комплексу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27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сентября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2003</w:t>
      </w:r>
      <w:r w:rsidR="006C147C">
        <w:rPr>
          <w:sz w:val="28"/>
          <w:szCs w:val="28"/>
        </w:rPr>
        <w:t xml:space="preserve">  </w:t>
      </w:r>
      <w:r w:rsidRPr="00785F23">
        <w:rPr>
          <w:sz w:val="28"/>
          <w:szCs w:val="28"/>
        </w:rPr>
        <w:lastRenderedPageBreak/>
        <w:t>года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170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технической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эксплуатации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жилищного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фонда»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(опубликовано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газете»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октября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2003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214);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19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24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октября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2011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860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взимания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платы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деятельности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октября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243);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20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24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октября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2011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861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системах,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обеспечивающих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(осуществление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функций)»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октября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44,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ст.6274);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21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25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августа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2012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852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использования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усиленной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квалифицированной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подписи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внесении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изменения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разработки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утверждения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административных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регламентов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31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августа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200);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22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25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июня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2012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634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видах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подписи,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использование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допускается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(«Российская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газета»,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июля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2012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148);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постановлением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</w:t>
      </w:r>
      <w:r w:rsidR="006C147C">
        <w:rPr>
          <w:sz w:val="28"/>
          <w:szCs w:val="28"/>
        </w:rPr>
        <w:t xml:space="preserve"> </w:t>
      </w:r>
      <w:hyperlink r:id="rId23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7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июля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2011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553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оформления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(«Собрание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РФ»,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18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июля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2011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года,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29,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ст.4479);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4" w:tgtFrame="_blank" w:history="1">
        <w:r w:rsidRPr="00785F23">
          <w:rPr>
            <w:rStyle w:val="hyperlink"/>
            <w:sz w:val="28"/>
            <w:szCs w:val="28"/>
          </w:rPr>
          <w:t>Уставом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муниципального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района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"Нерчинско-Заводский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район"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нормативными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правовыми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регулирующими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правоотношения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данной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сфере.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Исчерпывающий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соответствии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нормативными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правовыми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подлежащих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представлению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заявителем,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способы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представления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предъявляет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следующие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документы: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15.1.заявление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(приложение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№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2);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удостоверяющий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личность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(представителя);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удостоверяющий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полномочия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*правоустанавливающие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переустраиваемое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перепланируемое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(подлинники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засвидетельствованные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нотариальном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копии);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lastRenderedPageBreak/>
        <w:t>15.5.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подготовленный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оформленный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установленном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проект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переустраиваемого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перепланируемого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</w:t>
      </w:r>
      <w:proofErr w:type="gramStart"/>
      <w:r w:rsidRPr="00785F23">
        <w:rPr>
          <w:sz w:val="28"/>
          <w:szCs w:val="28"/>
        </w:rPr>
        <w:t>о(</w:t>
      </w:r>
      <w:proofErr w:type="gramEnd"/>
      <w:r w:rsidRPr="00785F23">
        <w:rPr>
          <w:sz w:val="28"/>
          <w:szCs w:val="28"/>
        </w:rPr>
        <w:t>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15.6.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технический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паспорт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переустраиваемого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перепланируемого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F23">
        <w:rPr>
          <w:sz w:val="28"/>
          <w:szCs w:val="28"/>
        </w:rPr>
        <w:t>15.7.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согласие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письменной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всех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членов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семьи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нанимателя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временно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отсутствующих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членов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семьи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нанимателя),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занимающих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переустраиваемое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перепланируемое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(нежилое)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основании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договора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социального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найма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случае,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если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уполномоченный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наймодателем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предусмотренных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настоящим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пунктом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наниматель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переустраиваемого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перепланируемого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договору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социального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найма);</w:t>
      </w:r>
      <w:proofErr w:type="gramEnd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15.8.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*заключение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охране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памятников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архитектуры,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истории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культуры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допустимости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проведения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если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такое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(нежилое)</w:t>
      </w:r>
      <w:r w:rsidR="006C147C">
        <w:rPr>
          <w:sz w:val="28"/>
          <w:szCs w:val="28"/>
        </w:rPr>
        <w:t xml:space="preserve">  </w:t>
      </w:r>
      <w:r w:rsidRPr="00785F23">
        <w:rPr>
          <w:sz w:val="28"/>
          <w:szCs w:val="28"/>
        </w:rPr>
        <w:t>помещение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дом,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находится,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памятником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архитектуры,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истории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культуры.</w:t>
      </w:r>
    </w:p>
    <w:p w:rsidR="00785F23" w:rsidRPr="00785F23" w:rsidRDefault="00785F23" w:rsidP="00785F23">
      <w:pPr>
        <w:pStyle w:val="bodytextinden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находятся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распоряжении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участвующих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вправе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представить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16.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*Выписка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ЕГРПН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зарегистрированных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объект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недвижимости;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17.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*заключение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охране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памятников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архитектуры,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истории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культуры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допустимости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проведения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  </w:t>
      </w:r>
      <w:r w:rsidRPr="00785F23">
        <w:rPr>
          <w:sz w:val="28"/>
          <w:szCs w:val="28"/>
        </w:rPr>
        <w:t>помещения,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если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такое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(нежилое)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дом,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находится,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памятником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архитектуры,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истории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культуры.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Исчерпывающий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оснований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отказа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18.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Основаниями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отказа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имеется.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85F23">
        <w:rPr>
          <w:b/>
          <w:sz w:val="28"/>
          <w:szCs w:val="28"/>
        </w:rPr>
        <w:t>Исчерпывающий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перечень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оснований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для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приостановления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или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отказа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в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предоставлении</w:t>
      </w:r>
      <w:r w:rsidR="006C147C">
        <w:rPr>
          <w:b/>
          <w:sz w:val="28"/>
          <w:szCs w:val="28"/>
        </w:rPr>
        <w:t xml:space="preserve"> </w:t>
      </w:r>
      <w:proofErr w:type="gramStart"/>
      <w:r w:rsidRPr="00785F23">
        <w:rPr>
          <w:b/>
          <w:sz w:val="28"/>
          <w:szCs w:val="28"/>
        </w:rPr>
        <w:t>муниципальной</w:t>
      </w:r>
      <w:proofErr w:type="gramEnd"/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услуг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19.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приостановления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отсутствуют.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20.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Отказ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допускается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случае,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если: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20.1.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непредставления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определенных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пунктом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14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настоящего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административного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регламента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20.2.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ненадлежащий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20.3.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несоответствия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проекта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переустройства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перепланировки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жилого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(нежилого)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требованиям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lastRenderedPageBreak/>
        <w:t>20.4.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наличие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случаев,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предусмотренных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статьей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11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Федерального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закона</w:t>
      </w:r>
      <w:r w:rsidR="006C147C">
        <w:rPr>
          <w:sz w:val="28"/>
          <w:szCs w:val="28"/>
        </w:rPr>
        <w:t xml:space="preserve"> </w:t>
      </w:r>
      <w:hyperlink r:id="rId25" w:tgtFrame="_blank" w:history="1">
        <w:r w:rsidRPr="00785F23">
          <w:rPr>
            <w:rStyle w:val="hyperlink"/>
            <w:sz w:val="28"/>
            <w:szCs w:val="28"/>
          </w:rPr>
          <w:t>от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мая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2006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года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№</w:t>
        </w:r>
        <w:r w:rsidR="006C147C">
          <w:rPr>
            <w:rStyle w:val="hyperlink"/>
            <w:sz w:val="28"/>
            <w:szCs w:val="28"/>
          </w:rPr>
          <w:t xml:space="preserve"> </w:t>
        </w:r>
        <w:r w:rsidRPr="00785F23">
          <w:rPr>
            <w:rStyle w:val="hyperlink"/>
            <w:sz w:val="28"/>
            <w:szCs w:val="28"/>
          </w:rPr>
          <w:t>59-ФЗ</w:t>
        </w:r>
      </w:hyperlink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рассмотрения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Российской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Федерации».</w:t>
      </w:r>
    </w:p>
    <w:p w:rsidR="00785F23" w:rsidRPr="00785F23" w:rsidRDefault="00785F23" w:rsidP="00785F23">
      <w:pPr>
        <w:pStyle w:val="bodytextinden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обязательными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Перечень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обязательными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предусмотрен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действующим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законодательством.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Порядок,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размер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взимания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пошлины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платы,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взимаемой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22.</w:t>
      </w:r>
      <w:r w:rsidR="006C147C">
        <w:rPr>
          <w:b/>
          <w:bCs/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пошлина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плата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взимается.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Максимальный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очереди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подаче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предоставляемой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организацией,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участвующей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результата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таких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Максимальный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очереди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подаче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должен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превышать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15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минут.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Срок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регистрации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поступившее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почте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полученное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личном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обращении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регистрируется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должностным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лицом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подразделения,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ответственного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делопроизводство,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поступления.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25.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поступившее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Исполнителю,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регистрируется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должностным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лицом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подразделения,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ответственного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делопроизводство,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день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поступления.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26.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Порядок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регистрации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устанавливается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определяющими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документооборота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автоматическом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режиме.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Требования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помещениям,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размещению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оформлению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визуальной,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текстовой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proofErr w:type="spellStart"/>
      <w:r w:rsidRPr="00785F23">
        <w:rPr>
          <w:sz w:val="28"/>
          <w:szCs w:val="28"/>
        </w:rPr>
        <w:t>мультимедийной</w:t>
      </w:r>
      <w:proofErr w:type="spell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порядке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таких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</w:p>
    <w:p w:rsidR="00785F23" w:rsidRPr="00785F23" w:rsidRDefault="006C147C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27.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осуществляется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специально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выделенных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помещениях.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28.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содержат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информирования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санитарными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правилами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соблюдением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мер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пожарной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безопасности.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входа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каждое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размещается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табличка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наименованием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(зал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приема/выдачи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т.д.).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lastRenderedPageBreak/>
        <w:t>Входы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образовательных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районов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городских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округов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пандусами,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расширенными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проходами,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позволяющими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обеспечить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беспрепятственный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инвалидов,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включая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инвалидов-колясочников.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29.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быть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оборудованы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стульями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кресельными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секциями,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соответствовать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комфортным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условиям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наличием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общего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пользования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(туалет,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гардероб)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оптимальным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условиям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работы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специалистов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Исполнителя.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Количество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определяется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исходя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фактической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нагрузки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здании,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может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составлять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менее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__3-х___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имеются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оказания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первой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помощи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общего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пользования.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43"/>
      <w:r w:rsidRPr="00785F23">
        <w:rPr>
          <w:sz w:val="28"/>
          <w:szCs w:val="28"/>
        </w:rPr>
        <w:t>30.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Все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противопожарной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системой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пожаротушения.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Вход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выход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соответствующими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указателями.</w:t>
      </w:r>
      <w:bookmarkEnd w:id="0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30.1.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стоянке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(остановке)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автотранспортных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выделяется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менее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10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процентов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(но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менее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одного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парковки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автотранспортных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инвалидов,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занимать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транспортные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средства.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Инвалиды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пользуются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парковки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автотранспортных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бесплатно.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Рабочие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должностных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лиц,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ответственных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быть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оборудованы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персональными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компьютерами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возможностью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информационно-телекоммуникационной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сети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Интернет,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базам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данных,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печатающими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устройствами,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копировальной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техникой,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средствами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телефонной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связи.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F23">
        <w:rPr>
          <w:sz w:val="28"/>
          <w:szCs w:val="28"/>
        </w:rPr>
        <w:t>Должностные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лица,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ответственные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обязаны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иметь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личные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нагрудные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идентификационные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карточки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</w:t>
      </w:r>
      <w:proofErr w:type="spellStart"/>
      <w:r w:rsidRPr="00785F23">
        <w:rPr>
          <w:sz w:val="28"/>
          <w:szCs w:val="28"/>
        </w:rPr>
        <w:t>бейджи</w:t>
      </w:r>
      <w:proofErr w:type="spellEnd"/>
      <w:r w:rsidRPr="00785F23">
        <w:rPr>
          <w:sz w:val="28"/>
          <w:szCs w:val="28"/>
        </w:rPr>
        <w:t>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указанием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фамилии,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имени,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отчества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либо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таблички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аналогичного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содержания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рабочих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местах.</w:t>
      </w:r>
      <w:proofErr w:type="gramEnd"/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приема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стульями,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столом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написания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размещения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заявлений,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других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информирования,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предназначенные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ознакомления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материалами,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оборудуются: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стендами,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которых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размещается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текстовая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образцами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заполнения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канцелярскими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принадлежностями;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стульями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столами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оформления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стендам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быть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обеспечена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свободного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граждан.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около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здания,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где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располагается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Исполнитель,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организуются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парковочные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автотранспорта.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парковочным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является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бесплатным.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lastRenderedPageBreak/>
        <w:t>35.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должен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быть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оснащен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рабочими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автоматизированным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системам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обеспечивающим: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35.1.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регистрацию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обработку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направленного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посредством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системы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«Портал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Забайкальского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края»;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35.2.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формирование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межведомственных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органы,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подведомственные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участвующие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35.3.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ведение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хранение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дела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35.4.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сведений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ходе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35.5.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сведений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межведомственному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запросу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подведомственных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организаций,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участвующие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услуг.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Показатели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качества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" w:name="sub_213"/>
      <w:r w:rsidRPr="00785F23">
        <w:rPr>
          <w:b/>
          <w:sz w:val="28"/>
          <w:szCs w:val="28"/>
        </w:rPr>
        <w:t>36.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Показатели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доступности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и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качества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муниципальной</w:t>
      </w:r>
      <w:r w:rsidR="006C147C">
        <w:rPr>
          <w:b/>
          <w:sz w:val="28"/>
          <w:szCs w:val="28"/>
        </w:rPr>
        <w:t xml:space="preserve"> </w:t>
      </w:r>
      <w:r w:rsidRPr="00785F23">
        <w:rPr>
          <w:b/>
          <w:sz w:val="28"/>
          <w:szCs w:val="28"/>
        </w:rPr>
        <w:t>услуги</w:t>
      </w:r>
      <w:bookmarkEnd w:id="1"/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Показателями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качества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являются: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открытость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услуге;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своевременность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точное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соблюдение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требований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законодательства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Административного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регламента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компетентность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специалистов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вопросах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вежливость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корректность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специалистов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Исполнителя;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комфортность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ожидания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отсутствие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жалоб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стороны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нарушение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требований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стандарта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услуги.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37.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Иные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требования,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том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числе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учитывающие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особенности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форме: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доступность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перечне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режиме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работы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Исполнителя,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контактных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телефонах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другой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контактной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заявителей;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заполнения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документов,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необходимых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для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форме;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подачи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использованием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информационно-телекоммуникационных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технологий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услуги;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возможность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получения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сведений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ходе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выполнения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запроса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электронной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форме;</w:t>
      </w:r>
    </w:p>
    <w:p w:rsidR="00785F23" w:rsidRPr="00785F23" w:rsidRDefault="00785F23" w:rsidP="00785F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23">
        <w:rPr>
          <w:sz w:val="28"/>
          <w:szCs w:val="28"/>
        </w:rPr>
        <w:t>-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взаимодействие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Исполнителя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государственной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власти,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(или)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подведомственными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lastRenderedPageBreak/>
        <w:t>государственным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местного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самоуправления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организациями,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участвующими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предоставлении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государственных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муниципальных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или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органами,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предоставляющими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услуги,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через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многофункциональный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центр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без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участия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заявителя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соответствии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нормативными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правовыми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актами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и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соглашением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о</w:t>
      </w:r>
      <w:r w:rsidR="006C147C">
        <w:rPr>
          <w:sz w:val="28"/>
          <w:szCs w:val="28"/>
        </w:rPr>
        <w:t xml:space="preserve"> </w:t>
      </w:r>
      <w:r w:rsidRPr="00785F23">
        <w:rPr>
          <w:sz w:val="28"/>
          <w:szCs w:val="28"/>
        </w:rPr>
        <w:t>взаимодействии.</w:t>
      </w:r>
    </w:p>
    <w:p w:rsidR="006C147C" w:rsidRPr="006C147C" w:rsidRDefault="006C147C" w:rsidP="006C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7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6C147C" w:rsidRPr="006C147C" w:rsidRDefault="006C147C" w:rsidP="006C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7C">
        <w:rPr>
          <w:rFonts w:ascii="Times New Roman" w:hAnsi="Times New Roman" w:cs="Times New Roman"/>
          <w:b/>
          <w:sz w:val="28"/>
          <w:szCs w:val="28"/>
        </w:rPr>
        <w:t>муниципальной услуги в многофункциональных центрах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6C147C" w:rsidRPr="006C147C" w:rsidRDefault="006C147C" w:rsidP="006C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7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и особенности предоставления муниципальной услуги в электронной форме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услуги: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http://нер-завод</w:t>
      </w:r>
      <w:proofErr w:type="gramStart"/>
      <w:r w:rsidRPr="006C147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C147C">
        <w:rPr>
          <w:rFonts w:ascii="Times New Roman" w:hAnsi="Times New Roman" w:cs="Times New Roman"/>
          <w:sz w:val="28"/>
          <w:szCs w:val="28"/>
        </w:rPr>
        <w:t>абайкальскийкрай.рф/;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услуг;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форме;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http://нер-завод</w:t>
      </w:r>
      <w:proofErr w:type="gramStart"/>
      <w:r w:rsidRPr="006C147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C147C">
        <w:rPr>
          <w:rFonts w:ascii="Times New Roman" w:hAnsi="Times New Roman" w:cs="Times New Roman"/>
          <w:sz w:val="28"/>
          <w:szCs w:val="28"/>
        </w:rPr>
        <w:t>абайкальскийкрай.рф/;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услуги.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47C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участвующими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взаимодействии.</w:t>
      </w:r>
      <w:proofErr w:type="gramEnd"/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39.1.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форме.</w:t>
      </w:r>
    </w:p>
    <w:p w:rsidR="006C147C" w:rsidRPr="006C147C" w:rsidRDefault="006C147C" w:rsidP="006C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7C">
        <w:rPr>
          <w:rFonts w:ascii="Times New Roman" w:hAnsi="Times New Roman" w:cs="Times New Roman"/>
          <w:sz w:val="28"/>
          <w:szCs w:val="28"/>
        </w:rPr>
        <w:t>связи.</w:t>
      </w:r>
    </w:p>
    <w:p w:rsidR="00E7079E" w:rsidRPr="00785F23" w:rsidRDefault="00E7079E" w:rsidP="00785F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785F23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23"/>
    <w:rsid w:val="006C147C"/>
    <w:rsid w:val="00785F23"/>
    <w:rsid w:val="00B80F50"/>
    <w:rsid w:val="00E603E1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8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F23"/>
    <w:rPr>
      <w:color w:val="0000FF"/>
      <w:u w:val="single"/>
    </w:rPr>
  </w:style>
  <w:style w:type="character" w:customStyle="1" w:styleId="hyperlink">
    <w:name w:val="hyperlink"/>
    <w:basedOn w:val="a0"/>
    <w:rsid w:val="00785F23"/>
  </w:style>
  <w:style w:type="paragraph" w:customStyle="1" w:styleId="a10">
    <w:name w:val="a1"/>
    <w:basedOn w:val="a"/>
    <w:rsid w:val="0078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3CF0FB8-17D5-46F6-A5EC-D1642676534B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18FA49ED-EAE5-4A91-A0F9-81EB6912D9D3" TargetMode="Externa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169FFAAF-0B96-47C8-9369-38141360223E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4F48675C-2DC2-4B7B-8F43-C7D17AB9072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54AD02E4-62DD-4A5A-B624-6E9878E8A319" TargetMode="External"/><Relationship Id="rId20" Type="http://schemas.openxmlformats.org/officeDocument/2006/relationships/hyperlink" Target="https://pravo-search.minjust.ru/bigs/showDocument.html?id=C03E49B7-EA98-4CB9-B8A3-AC0E6F57472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D77A7C-196B-40AD-BFE9-C9EDF20A9C93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24" Type="http://schemas.openxmlformats.org/officeDocument/2006/relationships/hyperlink" Target="https://pravo-search.minjust.ru/bigs/showDocument.html?id=1B1D2B01-EF46-4344-AB8C-133CA45C2263" TargetMode="External"/><Relationship Id="rId5" Type="http://schemas.openxmlformats.org/officeDocument/2006/relationships/hyperlink" Target="https://pravo-search.minjust.ru/bigs/showDocument.html?id=15D4560C-D530-4955-BF7E-F734337AE80B" TargetMode="External"/><Relationship Id="rId15" Type="http://schemas.openxmlformats.org/officeDocument/2006/relationships/hyperlink" Target="https://pravo-search.minjust.ru/bigs/showDocument.html?id=DA397DF8-F89F-45B0-8AF6-83A5D57FA34C" TargetMode="External"/><Relationship Id="rId23" Type="http://schemas.openxmlformats.org/officeDocument/2006/relationships/hyperlink" Target="https://pravo-search.minjust.ru/bigs/showDocument.html?id=67297E9A-8E9F-49BB-AFA2-4B258B1D36DA" TargetMode="External"/><Relationship Id="rId10" Type="http://schemas.openxmlformats.org/officeDocument/2006/relationships/hyperlink" Target="https://pravo-search.minjust.ru/bigs/showDocument.html?id=BEDB8D87-FB71-47D6-A08B-7000CAA8861A" TargetMode="External"/><Relationship Id="rId19" Type="http://schemas.openxmlformats.org/officeDocument/2006/relationships/hyperlink" Target="https://pravo-search.minjust.ru/bigs/showDocument.html?id=550DA8ED-5324-4281-94B8-328500646753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4B713A73-14DE-4295-929D-9283DCC04E6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dcterms:created xsi:type="dcterms:W3CDTF">2023-03-13T09:40:00Z</dcterms:created>
  <dcterms:modified xsi:type="dcterms:W3CDTF">2023-03-13T09:50:00Z</dcterms:modified>
</cp:coreProperties>
</file>