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4B" w:rsidRDefault="0060774B" w:rsidP="0060774B">
      <w:pPr>
        <w:pStyle w:val="1"/>
        <w:shd w:val="clear" w:color="auto" w:fill="FFFFFF"/>
        <w:spacing w:before="0" w:after="322" w:line="537" w:lineRule="atLeast"/>
        <w:rPr>
          <w:rFonts w:ascii="PT Sans" w:hAnsi="PT Sans"/>
          <w:color w:val="22284B"/>
          <w:sz w:val="43"/>
          <w:szCs w:val="43"/>
        </w:rPr>
      </w:pPr>
      <w:r>
        <w:rPr>
          <w:rFonts w:ascii="PT Sans" w:hAnsi="PT Sans"/>
          <w:color w:val="22284B"/>
          <w:sz w:val="43"/>
          <w:szCs w:val="43"/>
        </w:rPr>
        <w:t xml:space="preserve">Налоговые </w:t>
      </w:r>
      <w:proofErr w:type="gramStart"/>
      <w:r>
        <w:rPr>
          <w:rFonts w:ascii="PT Sans" w:hAnsi="PT Sans"/>
          <w:color w:val="22284B"/>
          <w:sz w:val="43"/>
          <w:szCs w:val="43"/>
        </w:rPr>
        <w:t>вычеты</w:t>
      </w:r>
      <w:proofErr w:type="gramEnd"/>
      <w:r>
        <w:rPr>
          <w:rFonts w:ascii="PT Sans" w:hAnsi="PT Sans"/>
          <w:color w:val="22284B"/>
          <w:sz w:val="43"/>
          <w:szCs w:val="43"/>
        </w:rPr>
        <w:t>: какими бывают и как их получить</w:t>
      </w:r>
    </w:p>
    <w:p w:rsidR="0060774B" w:rsidRDefault="0060774B" w:rsidP="0060774B">
      <w:pPr>
        <w:shd w:val="clear" w:color="auto" w:fill="FFFFFF"/>
        <w:rPr>
          <w:rFonts w:ascii="PT Sans" w:hAnsi="PT Sans"/>
          <w:color w:val="22284B"/>
          <w:sz w:val="15"/>
          <w:szCs w:val="15"/>
        </w:rPr>
      </w:pPr>
      <w:r>
        <w:rPr>
          <w:rFonts w:ascii="PT Sans" w:hAnsi="PT Sans"/>
          <w:noProof/>
          <w:color w:val="22284B"/>
          <w:sz w:val="15"/>
          <w:szCs w:val="15"/>
          <w:lang w:eastAsia="ru-RU"/>
        </w:rPr>
        <w:drawing>
          <wp:inline distT="0" distB="0" distL="0" distR="0">
            <wp:extent cx="5904000" cy="1796811"/>
            <wp:effectExtent l="19050" t="0" r="1500" b="0"/>
            <wp:docPr id="1" name="Рисунок 1" descr="Налоговые вычеты 2023 года: какими бывают и как их полу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логовые вычеты 2023 года: какими бывают и как их получи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9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74B" w:rsidRDefault="0060774B" w:rsidP="006A032D">
      <w:pPr>
        <w:pStyle w:val="a3"/>
        <w:spacing w:before="0" w:beforeAutospacing="0" w:after="107" w:afterAutospacing="0" w:line="279" w:lineRule="atLeast"/>
      </w:pPr>
      <w:r>
        <w:rPr>
          <w:i/>
          <w:iCs/>
          <w:color w:val="22284B"/>
          <w:sz w:val="19"/>
          <w:szCs w:val="19"/>
        </w:rPr>
        <w:t>Содержание статьи:</w:t>
      </w:r>
      <w:r>
        <w:rPr>
          <w:i/>
          <w:iCs/>
          <w:color w:val="22284B"/>
          <w:sz w:val="19"/>
          <w:szCs w:val="19"/>
        </w:rPr>
        <w:br/>
      </w:r>
      <w:hyperlink r:id="rId7" w:anchor="1" w:history="1">
        <w:r>
          <w:rPr>
            <w:rStyle w:val="a4"/>
            <w:i/>
            <w:iCs/>
            <w:color w:val="F7941D"/>
            <w:sz w:val="19"/>
            <w:szCs w:val="19"/>
          </w:rPr>
          <w:t>Что такое налоговый вычет?</w:t>
        </w:r>
      </w:hyperlink>
      <w:r>
        <w:rPr>
          <w:i/>
          <w:iCs/>
          <w:color w:val="22284B"/>
          <w:sz w:val="19"/>
          <w:szCs w:val="19"/>
        </w:rPr>
        <w:br/>
      </w:r>
      <w:hyperlink r:id="rId8" w:anchor="2" w:history="1">
        <w:r>
          <w:rPr>
            <w:rStyle w:val="a4"/>
            <w:i/>
            <w:iCs/>
            <w:color w:val="F7941D"/>
            <w:sz w:val="19"/>
            <w:szCs w:val="19"/>
          </w:rPr>
          <w:t>Кто может рассчитывать на налоговый вычет?</w:t>
        </w:r>
      </w:hyperlink>
      <w:r>
        <w:rPr>
          <w:i/>
          <w:iCs/>
          <w:color w:val="22284B"/>
          <w:sz w:val="19"/>
          <w:szCs w:val="19"/>
        </w:rPr>
        <w:br/>
      </w:r>
      <w:hyperlink r:id="rId9" w:anchor="3" w:history="1">
        <w:r>
          <w:rPr>
            <w:rStyle w:val="a4"/>
            <w:i/>
            <w:iCs/>
            <w:color w:val="F7941D"/>
            <w:sz w:val="19"/>
            <w:szCs w:val="19"/>
          </w:rPr>
          <w:t>Имущественные налоговые вычеты</w:t>
        </w:r>
      </w:hyperlink>
      <w:r>
        <w:rPr>
          <w:i/>
          <w:iCs/>
          <w:color w:val="22284B"/>
          <w:sz w:val="19"/>
          <w:szCs w:val="19"/>
        </w:rPr>
        <w:br/>
      </w:r>
      <w:hyperlink r:id="rId10" w:anchor="4" w:history="1">
        <w:r>
          <w:rPr>
            <w:rStyle w:val="a4"/>
            <w:i/>
            <w:iCs/>
            <w:color w:val="F7941D"/>
            <w:sz w:val="19"/>
            <w:szCs w:val="19"/>
          </w:rPr>
          <w:t>Социальные налоговые вычеты</w:t>
        </w:r>
      </w:hyperlink>
      <w:r>
        <w:rPr>
          <w:i/>
          <w:iCs/>
          <w:color w:val="22284B"/>
          <w:sz w:val="19"/>
          <w:szCs w:val="19"/>
        </w:rPr>
        <w:br/>
      </w:r>
      <w:hyperlink r:id="rId11" w:anchor="5" w:history="1">
        <w:r>
          <w:rPr>
            <w:rStyle w:val="a4"/>
            <w:i/>
            <w:iCs/>
            <w:color w:val="F7941D"/>
            <w:sz w:val="19"/>
            <w:szCs w:val="19"/>
          </w:rPr>
          <w:t>Профессиональные налоговые вычеты</w:t>
        </w:r>
      </w:hyperlink>
      <w:r>
        <w:rPr>
          <w:i/>
          <w:iCs/>
          <w:color w:val="22284B"/>
          <w:sz w:val="19"/>
          <w:szCs w:val="19"/>
        </w:rPr>
        <w:br/>
      </w:r>
      <w:hyperlink r:id="rId12" w:anchor="6" w:history="1">
        <w:r>
          <w:rPr>
            <w:rStyle w:val="a4"/>
            <w:i/>
            <w:iCs/>
            <w:color w:val="F7941D"/>
            <w:sz w:val="19"/>
            <w:szCs w:val="19"/>
          </w:rPr>
          <w:t>Инвестиционные налоговые вычеты</w:t>
        </w:r>
      </w:hyperlink>
      <w:r>
        <w:rPr>
          <w:i/>
          <w:iCs/>
          <w:color w:val="22284B"/>
          <w:sz w:val="19"/>
          <w:szCs w:val="19"/>
        </w:rPr>
        <w:br/>
      </w:r>
      <w:hyperlink r:id="rId13" w:anchor="7" w:history="1">
        <w:r>
          <w:rPr>
            <w:rStyle w:val="a4"/>
            <w:i/>
            <w:iCs/>
            <w:color w:val="F7941D"/>
            <w:sz w:val="19"/>
            <w:szCs w:val="19"/>
          </w:rPr>
          <w:t>Стандартные налоговые вычеты</w:t>
        </w:r>
      </w:hyperlink>
      <w:r>
        <w:rPr>
          <w:i/>
          <w:iCs/>
          <w:color w:val="22284B"/>
          <w:sz w:val="19"/>
          <w:szCs w:val="19"/>
        </w:rPr>
        <w:br/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Что объединяет траты на медицину, спорт, образование детей, покупку квартиры и торговлю ценными бумагами? За все это можно получать налоговые вычеты.</w:t>
      </w:r>
    </w:p>
    <w:p w:rsidR="0060774B" w:rsidRDefault="0060774B" w:rsidP="0060774B">
      <w:pPr>
        <w:pStyle w:val="2"/>
        <w:spacing w:before="430" w:beforeAutospacing="0" w:after="376" w:afterAutospacing="0" w:line="398" w:lineRule="atLeast"/>
        <w:rPr>
          <w:color w:val="22284B"/>
          <w:sz w:val="32"/>
          <w:szCs w:val="32"/>
        </w:rPr>
      </w:pPr>
      <w:bookmarkStart w:id="0" w:name="1"/>
      <w:bookmarkEnd w:id="0"/>
      <w:r>
        <w:rPr>
          <w:color w:val="22284B"/>
          <w:sz w:val="32"/>
          <w:szCs w:val="32"/>
        </w:rPr>
        <w:t>Что такое налоговый вычет?</w:t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Понятие «налоговый вычет» употребляется в двух смыслах:</w:t>
      </w:r>
    </w:p>
    <w:p w:rsidR="0060774B" w:rsidRDefault="0060774B" w:rsidP="0060774B">
      <w:pPr>
        <w:numPr>
          <w:ilvl w:val="0"/>
          <w:numId w:val="2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 xml:space="preserve">как возврат части </w:t>
      </w:r>
      <w:proofErr w:type="gramStart"/>
      <w:r>
        <w:rPr>
          <w:color w:val="22284B"/>
          <w:sz w:val="19"/>
          <w:szCs w:val="19"/>
        </w:rPr>
        <w:t>уплаченного</w:t>
      </w:r>
      <w:proofErr w:type="gramEnd"/>
      <w:r>
        <w:rPr>
          <w:color w:val="22284B"/>
          <w:sz w:val="19"/>
          <w:szCs w:val="19"/>
        </w:rPr>
        <w:t xml:space="preserve"> вами ранее НДФЛ,</w:t>
      </w:r>
    </w:p>
    <w:p w:rsidR="0060774B" w:rsidRDefault="0060774B" w:rsidP="0060774B">
      <w:pPr>
        <w:numPr>
          <w:ilvl w:val="0"/>
          <w:numId w:val="2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как уменьшение налогооблагаемой базы (суммы, с которой исчисляется НДФЛ).</w:t>
      </w:r>
    </w:p>
    <w:p w:rsidR="0060774B" w:rsidRDefault="0060774B" w:rsidP="0060774B">
      <w:pPr>
        <w:pStyle w:val="2"/>
        <w:spacing w:before="430" w:beforeAutospacing="0" w:after="376" w:afterAutospacing="0" w:line="398" w:lineRule="atLeast"/>
        <w:rPr>
          <w:color w:val="22284B"/>
          <w:sz w:val="32"/>
          <w:szCs w:val="32"/>
        </w:rPr>
      </w:pPr>
      <w:bookmarkStart w:id="1" w:name="2"/>
      <w:bookmarkEnd w:id="1"/>
      <w:r>
        <w:rPr>
          <w:color w:val="22284B"/>
          <w:sz w:val="32"/>
          <w:szCs w:val="32"/>
        </w:rPr>
        <w:t>Кто может рассчитывать на налоговый вычет?</w:t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Любой гражданин России, который является налоговым резидентом и у которого есть налогооблагаемый доход.</w:t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Оснований для получений налогового вычета несколько. Их можно разделить на несколько видов: имущественные, социальные, стандартные, инвестиционные, профессиональные и другие.</w:t>
      </w:r>
    </w:p>
    <w:p w:rsidR="0060774B" w:rsidRDefault="0060774B" w:rsidP="0060774B">
      <w:pPr>
        <w:pStyle w:val="2"/>
        <w:spacing w:before="430" w:beforeAutospacing="0" w:after="376" w:afterAutospacing="0" w:line="398" w:lineRule="atLeast"/>
        <w:rPr>
          <w:color w:val="22284B"/>
          <w:sz w:val="32"/>
          <w:szCs w:val="32"/>
        </w:rPr>
      </w:pPr>
      <w:bookmarkStart w:id="2" w:name="3"/>
      <w:bookmarkEnd w:id="2"/>
      <w:r>
        <w:rPr>
          <w:color w:val="22284B"/>
          <w:sz w:val="32"/>
          <w:szCs w:val="32"/>
        </w:rPr>
        <w:t>Имущественные налоговые вычеты</w:t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Имущественный вычет можно получить при покупке жилья и земельных участков, при продаже некоторых видов имущества или при пользовании ипотекой.</w:t>
      </w:r>
    </w:p>
    <w:p w:rsidR="0060774B" w:rsidRDefault="0060774B" w:rsidP="0060774B">
      <w:pPr>
        <w:rPr>
          <w:sz w:val="24"/>
          <w:szCs w:val="24"/>
        </w:rPr>
      </w:pPr>
      <w:r>
        <w:lastRenderedPageBreak/>
        <w:t>Так, можно вернуть:</w:t>
      </w:r>
      <w:r>
        <w:br/>
      </w:r>
    </w:p>
    <w:p w:rsidR="0060774B" w:rsidRDefault="0060774B" w:rsidP="0060774B">
      <w:pPr>
        <w:numPr>
          <w:ilvl w:val="0"/>
          <w:numId w:val="3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 xml:space="preserve">до 260 тыс. рублей при расходах на покупку или строительство жилья. Рассчитывается как произведение фактически потраченной суммы (в пределах 2 </w:t>
      </w:r>
      <w:proofErr w:type="spellStart"/>
      <w:proofErr w:type="gramStart"/>
      <w:r>
        <w:rPr>
          <w:color w:val="22284B"/>
          <w:sz w:val="19"/>
          <w:szCs w:val="19"/>
        </w:rPr>
        <w:t>млн</w:t>
      </w:r>
      <w:proofErr w:type="spellEnd"/>
      <w:proofErr w:type="gramEnd"/>
      <w:r>
        <w:rPr>
          <w:color w:val="22284B"/>
          <w:sz w:val="19"/>
          <w:szCs w:val="19"/>
        </w:rPr>
        <w:t xml:space="preserve"> рублей) * 13% (ставка НДФЛ). </w:t>
      </w:r>
    </w:p>
    <w:p w:rsidR="0060774B" w:rsidRDefault="0060774B" w:rsidP="0060774B">
      <w:pPr>
        <w:numPr>
          <w:ilvl w:val="0"/>
          <w:numId w:val="3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 xml:space="preserve">до 390 тыс. рублей при погашении процентов по целевым кредитам. Сумма возврата считается как произведение суммы уплаченных процентов за ипотеку (до 3 </w:t>
      </w:r>
      <w:proofErr w:type="spellStart"/>
      <w:proofErr w:type="gramStart"/>
      <w:r>
        <w:rPr>
          <w:color w:val="22284B"/>
          <w:sz w:val="19"/>
          <w:szCs w:val="19"/>
        </w:rPr>
        <w:t>млн</w:t>
      </w:r>
      <w:proofErr w:type="spellEnd"/>
      <w:proofErr w:type="gramEnd"/>
      <w:r>
        <w:rPr>
          <w:color w:val="22284B"/>
          <w:sz w:val="19"/>
          <w:szCs w:val="19"/>
        </w:rPr>
        <w:t xml:space="preserve"> рублей) * на 13% (ставка НДФЛ).</w:t>
      </w:r>
    </w:p>
    <w:p w:rsidR="0060774B" w:rsidRDefault="0060774B" w:rsidP="0060774B">
      <w:pPr>
        <w:spacing w:after="0" w:line="240" w:lineRule="auto"/>
        <w:rPr>
          <w:sz w:val="24"/>
          <w:szCs w:val="24"/>
        </w:rPr>
      </w:pPr>
      <w:r>
        <w:br/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noProof/>
          <w:color w:val="22284B"/>
          <w:sz w:val="19"/>
          <w:szCs w:val="19"/>
        </w:rPr>
        <w:drawing>
          <wp:inline distT="0" distB="0" distL="0" distR="0">
            <wp:extent cx="5796000" cy="2748018"/>
            <wp:effectExtent l="19050" t="0" r="0" b="0"/>
            <wp:docPr id="2" name="Рисунок 2" descr="Имущественные выч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мущественные вычет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0" cy="274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 xml:space="preserve">Но есть несколько особенностей, </w:t>
      </w:r>
      <w:proofErr w:type="gramStart"/>
      <w:r>
        <w:rPr>
          <w:color w:val="22284B"/>
          <w:sz w:val="19"/>
          <w:szCs w:val="19"/>
        </w:rPr>
        <w:t>из</w:t>
      </w:r>
      <w:proofErr w:type="gramEnd"/>
      <w:r>
        <w:rPr>
          <w:color w:val="22284B"/>
          <w:sz w:val="19"/>
          <w:szCs w:val="19"/>
        </w:rPr>
        <w:t xml:space="preserve"> важных:</w:t>
      </w:r>
    </w:p>
    <w:p w:rsidR="0060774B" w:rsidRDefault="0060774B" w:rsidP="0060774B">
      <w:pPr>
        <w:numPr>
          <w:ilvl w:val="0"/>
          <w:numId w:val="4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на сделки с близкими родственниками или членами семьи; на подаренные или полученные по наследству квартиры вычеты не распространяются.</w:t>
      </w:r>
    </w:p>
    <w:p w:rsidR="0060774B" w:rsidRDefault="0060774B" w:rsidP="0060774B">
      <w:pPr>
        <w:numPr>
          <w:ilvl w:val="0"/>
          <w:numId w:val="4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Если имущество является совместно нажитым, вычет за его покупку могут получить и муж, и жена. Каждому из супругов полагается свой собственный налоговый вычет (до 260 тыс.). Распределить его между собой они могут в любых пропорциях вне зависимости от того, кто заплатил за покупку, но в таком случае на обоих супругов должна быть оформлена долевая собственность. </w:t>
      </w:r>
    </w:p>
    <w:p w:rsidR="0060774B" w:rsidRDefault="0060774B" w:rsidP="0060774B">
      <w:pPr>
        <w:numPr>
          <w:ilvl w:val="0"/>
          <w:numId w:val="4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Если человек не полностью использовал свой лимит вычета (260 тыс. рублей), то его можно перенести на другой объект</w:t>
      </w:r>
    </w:p>
    <w:p w:rsidR="0060774B" w:rsidRDefault="0060774B" w:rsidP="0060774B">
      <w:pPr>
        <w:pStyle w:val="2"/>
        <w:spacing w:before="430" w:beforeAutospacing="0" w:after="376" w:afterAutospacing="0" w:line="398" w:lineRule="atLeast"/>
        <w:rPr>
          <w:color w:val="22284B"/>
          <w:sz w:val="32"/>
          <w:szCs w:val="32"/>
        </w:rPr>
      </w:pPr>
      <w:bookmarkStart w:id="3" w:name="4"/>
      <w:bookmarkEnd w:id="3"/>
      <w:r>
        <w:rPr>
          <w:color w:val="22284B"/>
          <w:sz w:val="32"/>
          <w:szCs w:val="32"/>
        </w:rPr>
        <w:t>Социальные налоговые вычеты</w:t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Социальные вычеты можно получить за расходы на обучение, лечение, благотворительность, медицинское и пенсионное страхование, физкультурно-оздоровительные услуги.</w:t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noProof/>
          <w:color w:val="22284B"/>
          <w:sz w:val="19"/>
          <w:szCs w:val="19"/>
        </w:rPr>
        <w:lastRenderedPageBreak/>
        <w:drawing>
          <wp:inline distT="0" distB="0" distL="0" distR="0">
            <wp:extent cx="5940000" cy="2815765"/>
            <wp:effectExtent l="19050" t="0" r="3600" b="0"/>
            <wp:docPr id="3" name="Рисунок 3" descr="Социальные выч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циальные вычет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281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В качестве налогового вычета можно вернуть расходы: </w:t>
      </w:r>
    </w:p>
    <w:p w:rsidR="0060774B" w:rsidRDefault="0060774B" w:rsidP="0060774B">
      <w:pPr>
        <w:numPr>
          <w:ilvl w:val="0"/>
          <w:numId w:val="5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на обучение собственных или подопечных детей: на каждого ребенка можно вернуть до 6,5 тыс. рублей в год (лимит до 50 тыс. рублей в год * на ставку НДФЛ). </w:t>
      </w:r>
    </w:p>
    <w:p w:rsidR="0060774B" w:rsidRDefault="0060774B" w:rsidP="0060774B">
      <w:pPr>
        <w:numPr>
          <w:ilvl w:val="0"/>
          <w:numId w:val="5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на дорогостоящее лечение ограничений по расходам и лимита вычета нет</w:t>
      </w:r>
    </w:p>
    <w:p w:rsidR="0060774B" w:rsidRDefault="0060774B" w:rsidP="0060774B">
      <w:pPr>
        <w:numPr>
          <w:ilvl w:val="0"/>
          <w:numId w:val="5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на все остальные категории (в совокупности), включая собственное образование и прочие медицинские услуги – до 120 тыс. рублей в год * 13%, то есть на счет вернется не более 15 600 руб.</w:t>
      </w:r>
    </w:p>
    <w:p w:rsidR="0060774B" w:rsidRDefault="0060774B" w:rsidP="0060774B">
      <w:pPr>
        <w:numPr>
          <w:ilvl w:val="0"/>
          <w:numId w:val="5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на благотворительность – база для расчета вычета не может превышать 25% дохода за год физического лица</w:t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Какие есть особенности?</w:t>
      </w:r>
    </w:p>
    <w:p w:rsidR="0060774B" w:rsidRDefault="0060774B" w:rsidP="0060774B">
      <w:pPr>
        <w:numPr>
          <w:ilvl w:val="0"/>
          <w:numId w:val="6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если сумма вычета на все остальные категории превышает 120 тыс. рублей, налогоплательщик сам выбирает те траты, на основе которых будет рассчитываться итоговая выплата</w:t>
      </w:r>
    </w:p>
    <w:p w:rsidR="0060774B" w:rsidRDefault="0060774B" w:rsidP="0060774B">
      <w:pPr>
        <w:numPr>
          <w:ilvl w:val="0"/>
          <w:numId w:val="6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новый налоговый вычет на фитнес тоже входит в общий лимит 120 тыс. рублей</w:t>
      </w:r>
    </w:p>
    <w:p w:rsidR="0060774B" w:rsidRDefault="0060774B" w:rsidP="0060774B">
      <w:pPr>
        <w:pStyle w:val="2"/>
        <w:spacing w:before="430" w:beforeAutospacing="0" w:after="376" w:afterAutospacing="0" w:line="398" w:lineRule="atLeast"/>
        <w:rPr>
          <w:color w:val="22284B"/>
          <w:sz w:val="32"/>
          <w:szCs w:val="32"/>
        </w:rPr>
      </w:pPr>
      <w:bookmarkStart w:id="4" w:name="5"/>
      <w:bookmarkEnd w:id="4"/>
      <w:r>
        <w:rPr>
          <w:color w:val="22284B"/>
          <w:sz w:val="32"/>
          <w:szCs w:val="32"/>
        </w:rPr>
        <w:t>Профессиональные налоговые вычеты</w:t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Такие налоговые вычеты могут получать адвокаты, нотариусы; занятые частной практикой (охранники, детективы и т.д.); работающие по ГПХ; авторы, которые получают вознаграждения; и ИП, которые платят НДФЛ 13%.</w:t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Профессиональные вычеты предоставляются в сумме расходов, которые налогоплательщик понес в ходе своей деятельности и может документально подтвердить. В некоторых случаях индивидуальные предприниматели могут получить вычет в размере 20% от общей суммы полученного ими дохода.</w:t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noProof/>
          <w:color w:val="22284B"/>
          <w:sz w:val="19"/>
          <w:szCs w:val="19"/>
        </w:rPr>
        <w:lastRenderedPageBreak/>
        <w:drawing>
          <wp:inline distT="0" distB="0" distL="0" distR="0">
            <wp:extent cx="6048000" cy="2877389"/>
            <wp:effectExtent l="19050" t="0" r="0" b="0"/>
            <wp:docPr id="4" name="Рисунок 4" descr="Профессиональные выч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фессиональные вычеты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287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Особенности профессиональных налоговых вычетов:</w:t>
      </w:r>
    </w:p>
    <w:p w:rsidR="0060774B" w:rsidRDefault="0060774B" w:rsidP="0060774B">
      <w:pPr>
        <w:numPr>
          <w:ilvl w:val="0"/>
          <w:numId w:val="7"/>
        </w:numPr>
        <w:spacing w:after="161" w:line="279" w:lineRule="atLeast"/>
        <w:ind w:left="0"/>
        <w:rPr>
          <w:color w:val="22284B"/>
          <w:sz w:val="19"/>
          <w:szCs w:val="19"/>
        </w:rPr>
      </w:pPr>
      <w:proofErr w:type="spellStart"/>
      <w:r>
        <w:rPr>
          <w:color w:val="22284B"/>
          <w:sz w:val="19"/>
          <w:szCs w:val="19"/>
        </w:rPr>
        <w:t>самозанятые</w:t>
      </w:r>
      <w:proofErr w:type="spellEnd"/>
      <w:r>
        <w:rPr>
          <w:color w:val="22284B"/>
          <w:sz w:val="19"/>
          <w:szCs w:val="19"/>
        </w:rPr>
        <w:t xml:space="preserve"> не могут ими воспользоваться;</w:t>
      </w:r>
    </w:p>
    <w:p w:rsidR="0060774B" w:rsidRDefault="0060774B" w:rsidP="0060774B">
      <w:pPr>
        <w:numPr>
          <w:ilvl w:val="0"/>
          <w:numId w:val="7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если ИП не может подтвердить расходы, то у него есть возможность получить вычет в размере 20% от суммы полученного дохода;</w:t>
      </w:r>
    </w:p>
    <w:p w:rsidR="0060774B" w:rsidRDefault="0060774B" w:rsidP="0060774B">
      <w:pPr>
        <w:pStyle w:val="2"/>
        <w:spacing w:before="430" w:beforeAutospacing="0" w:after="376" w:afterAutospacing="0" w:line="398" w:lineRule="atLeast"/>
        <w:rPr>
          <w:color w:val="22284B"/>
          <w:sz w:val="32"/>
          <w:szCs w:val="32"/>
        </w:rPr>
      </w:pPr>
      <w:bookmarkStart w:id="5" w:name="6"/>
      <w:bookmarkEnd w:id="5"/>
      <w:r>
        <w:rPr>
          <w:color w:val="22284B"/>
          <w:sz w:val="32"/>
          <w:szCs w:val="32"/>
        </w:rPr>
        <w:t>Инвестиционные налоговые вычеты</w:t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Инвестиционные вычеты положены</w:t>
      </w:r>
    </w:p>
    <w:p w:rsidR="0060774B" w:rsidRDefault="0060774B" w:rsidP="0060774B">
      <w:pPr>
        <w:numPr>
          <w:ilvl w:val="0"/>
          <w:numId w:val="8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при продаже ценных бумаг на организованном рынке, если они были в собственности более 3 лет); </w:t>
      </w:r>
    </w:p>
    <w:p w:rsidR="0060774B" w:rsidRDefault="0060774B" w:rsidP="0060774B">
      <w:pPr>
        <w:numPr>
          <w:ilvl w:val="0"/>
          <w:numId w:val="8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при внесении денег на ИИС; </w:t>
      </w:r>
    </w:p>
    <w:p w:rsidR="0060774B" w:rsidRDefault="0060774B" w:rsidP="0060774B">
      <w:pPr>
        <w:numPr>
          <w:ilvl w:val="0"/>
          <w:numId w:val="8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при получении дохода по ценным бумагам, учитываемым на ИИС.</w:t>
      </w:r>
    </w:p>
    <w:p w:rsidR="0060774B" w:rsidRDefault="0060774B" w:rsidP="0060774B">
      <w:pPr>
        <w:spacing w:after="0" w:line="240" w:lineRule="auto"/>
        <w:rPr>
          <w:sz w:val="24"/>
          <w:szCs w:val="24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6084000" cy="2888720"/>
            <wp:effectExtent l="19050" t="0" r="0" b="0"/>
            <wp:docPr id="5" name="Рисунок 5" descr="Инвестиционные выч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вестиционные вычеты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28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br/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Максимальная сумма вычета составляет:</w:t>
      </w:r>
    </w:p>
    <w:p w:rsidR="0060774B" w:rsidRDefault="0060774B" w:rsidP="0060774B">
      <w:pPr>
        <w:numPr>
          <w:ilvl w:val="0"/>
          <w:numId w:val="9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 xml:space="preserve">за ценные бумаги максимальная сумма рассчитывается по формуле: число лет, которое ценные бумаги находились в собственности * 3 </w:t>
      </w:r>
      <w:proofErr w:type="spellStart"/>
      <w:proofErr w:type="gramStart"/>
      <w:r>
        <w:rPr>
          <w:color w:val="22284B"/>
          <w:sz w:val="19"/>
          <w:szCs w:val="19"/>
        </w:rPr>
        <w:t>млн</w:t>
      </w:r>
      <w:proofErr w:type="spellEnd"/>
      <w:proofErr w:type="gramEnd"/>
      <w:r>
        <w:rPr>
          <w:color w:val="22284B"/>
          <w:sz w:val="19"/>
          <w:szCs w:val="19"/>
        </w:rPr>
        <w:t xml:space="preserve"> рублей * на ставку НДФЛ</w:t>
      </w:r>
    </w:p>
    <w:p w:rsidR="0060774B" w:rsidRDefault="0060774B" w:rsidP="0060774B">
      <w:pPr>
        <w:numPr>
          <w:ilvl w:val="0"/>
          <w:numId w:val="9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за ИИС типа A – до 52 тыс. рублей (не более 400 тыс. рублей за 1 календарный год * 13% НДФЛ) </w:t>
      </w:r>
    </w:p>
    <w:p w:rsidR="0060774B" w:rsidRDefault="0060774B" w:rsidP="0060774B">
      <w:pPr>
        <w:numPr>
          <w:ilvl w:val="0"/>
          <w:numId w:val="9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за ИИС типа</w:t>
      </w:r>
      <w:proofErr w:type="gramStart"/>
      <w:r>
        <w:rPr>
          <w:color w:val="22284B"/>
          <w:sz w:val="19"/>
          <w:szCs w:val="19"/>
        </w:rPr>
        <w:t xml:space="preserve"> Б</w:t>
      </w:r>
      <w:proofErr w:type="gramEnd"/>
      <w:r>
        <w:rPr>
          <w:color w:val="22284B"/>
          <w:sz w:val="19"/>
          <w:szCs w:val="19"/>
        </w:rPr>
        <w:t xml:space="preserve"> – в полной сумме прибыли по операциям на ИИС*на ставку НДФЛ (при этом должно пройти более 3 лет с даты заключения договора на ведение ИИС)</w:t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Особенности: </w:t>
      </w:r>
    </w:p>
    <w:p w:rsidR="0060774B" w:rsidRDefault="0060774B" w:rsidP="0060774B">
      <w:pPr>
        <w:numPr>
          <w:ilvl w:val="0"/>
          <w:numId w:val="10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Вычет при продаже ценных бумаг можно получить, если они находились в собственности более 3 лет. </w:t>
      </w:r>
    </w:p>
    <w:p w:rsidR="0060774B" w:rsidRDefault="0060774B" w:rsidP="0060774B">
      <w:pPr>
        <w:numPr>
          <w:ilvl w:val="0"/>
          <w:numId w:val="10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Если инвестор использует вычет на ИИС типа</w:t>
      </w:r>
      <w:proofErr w:type="gramStart"/>
      <w:r>
        <w:rPr>
          <w:color w:val="22284B"/>
          <w:sz w:val="19"/>
          <w:szCs w:val="19"/>
        </w:rPr>
        <w:t xml:space="preserve"> А</w:t>
      </w:r>
      <w:proofErr w:type="gramEnd"/>
      <w:r>
        <w:rPr>
          <w:color w:val="22284B"/>
          <w:sz w:val="19"/>
          <w:szCs w:val="19"/>
        </w:rPr>
        <w:t>, то на вычет типа Б он рассчитывать не может. </w:t>
      </w:r>
    </w:p>
    <w:p w:rsidR="0060774B" w:rsidRDefault="0060774B" w:rsidP="0060774B">
      <w:pPr>
        <w:numPr>
          <w:ilvl w:val="0"/>
          <w:numId w:val="10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Если ИИС закрыть раньше, чем пройдет 3 года, то вычет придется вернуть, а также заплатить пени.  </w:t>
      </w:r>
    </w:p>
    <w:p w:rsidR="0060774B" w:rsidRDefault="0060774B" w:rsidP="0060774B">
      <w:pPr>
        <w:pStyle w:val="2"/>
        <w:spacing w:before="430" w:beforeAutospacing="0" w:after="376" w:afterAutospacing="0" w:line="398" w:lineRule="atLeast"/>
        <w:rPr>
          <w:color w:val="22284B"/>
          <w:sz w:val="32"/>
          <w:szCs w:val="32"/>
        </w:rPr>
      </w:pPr>
      <w:bookmarkStart w:id="6" w:name="7"/>
      <w:bookmarkEnd w:id="6"/>
      <w:r>
        <w:rPr>
          <w:color w:val="22284B"/>
          <w:sz w:val="32"/>
          <w:szCs w:val="32"/>
        </w:rPr>
        <w:t>Стандартные налоговые вычеты </w:t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Такие вычеты предоставляется определенным категориям лиц (</w:t>
      </w:r>
      <w:proofErr w:type="gramStart"/>
      <w:r>
        <w:rPr>
          <w:color w:val="22284B"/>
          <w:sz w:val="19"/>
          <w:szCs w:val="19"/>
        </w:rPr>
        <w:t>см</w:t>
      </w:r>
      <w:proofErr w:type="gramEnd"/>
      <w:r>
        <w:rPr>
          <w:color w:val="22284B"/>
          <w:sz w:val="19"/>
          <w:szCs w:val="19"/>
        </w:rPr>
        <w:t xml:space="preserve">. в п.1 ст. 218 НК РФ), а также родителям или опекунам, у которых на обеспечении находится ребенок до 18 лет или до 24 лет, если продолжает учиться </w:t>
      </w:r>
      <w:proofErr w:type="spellStart"/>
      <w:r>
        <w:rPr>
          <w:color w:val="22284B"/>
          <w:sz w:val="19"/>
          <w:szCs w:val="19"/>
        </w:rPr>
        <w:t>очно</w:t>
      </w:r>
      <w:proofErr w:type="spellEnd"/>
      <w:r>
        <w:rPr>
          <w:color w:val="22284B"/>
          <w:sz w:val="19"/>
          <w:szCs w:val="19"/>
        </w:rPr>
        <w:t>.  </w:t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 xml:space="preserve">Вычет из налогооблагаемой базы за первого и второго ребенка составляет 1400 в месяц, за третьего и </w:t>
      </w:r>
      <w:proofErr w:type="gramStart"/>
      <w:r>
        <w:rPr>
          <w:color w:val="22284B"/>
          <w:sz w:val="19"/>
          <w:szCs w:val="19"/>
        </w:rPr>
        <w:t>последующих</w:t>
      </w:r>
      <w:proofErr w:type="gramEnd"/>
      <w:r>
        <w:rPr>
          <w:color w:val="22284B"/>
          <w:sz w:val="19"/>
          <w:szCs w:val="19"/>
        </w:rPr>
        <w:t xml:space="preserve"> – 3000 в месяц. </w:t>
      </w:r>
    </w:p>
    <w:p w:rsidR="0060774B" w:rsidRDefault="0060774B" w:rsidP="0060774B">
      <w:pPr>
        <w:pStyle w:val="a3"/>
        <w:spacing w:before="0" w:beforeAutospacing="0" w:after="107" w:afterAutospacing="0" w:line="279" w:lineRule="atLeast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Нужно обратить внимание:</w:t>
      </w:r>
    </w:p>
    <w:p w:rsidR="0060774B" w:rsidRDefault="0060774B" w:rsidP="0060774B">
      <w:pPr>
        <w:numPr>
          <w:ilvl w:val="0"/>
          <w:numId w:val="11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 xml:space="preserve">Если человек имеет право на вычеты нескольких категорий, то выплачивается </w:t>
      </w:r>
      <w:proofErr w:type="spellStart"/>
      <w:r>
        <w:rPr>
          <w:color w:val="22284B"/>
          <w:sz w:val="19"/>
          <w:szCs w:val="19"/>
        </w:rPr>
        <w:t>бОльший</w:t>
      </w:r>
      <w:proofErr w:type="spellEnd"/>
      <w:r>
        <w:rPr>
          <w:color w:val="22284B"/>
          <w:sz w:val="19"/>
          <w:szCs w:val="19"/>
        </w:rPr>
        <w:t xml:space="preserve"> из них. </w:t>
      </w:r>
    </w:p>
    <w:p w:rsidR="0060774B" w:rsidRDefault="0060774B" w:rsidP="0060774B">
      <w:pPr>
        <w:numPr>
          <w:ilvl w:val="0"/>
          <w:numId w:val="11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Чем больше детей в семье, тем выше сумма вычета.</w:t>
      </w:r>
    </w:p>
    <w:p w:rsidR="0060774B" w:rsidRDefault="0060774B" w:rsidP="0060774B">
      <w:pPr>
        <w:numPr>
          <w:ilvl w:val="0"/>
          <w:numId w:val="11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Родителям и усыновителям детей-инвалидов 1 и 2 группы положено 12 000 рублей налогового вычета; для опекунов, попечителей и приемных родителей детей-инвалидов – 6 000 рублей. </w:t>
      </w:r>
    </w:p>
    <w:p w:rsidR="0060774B" w:rsidRDefault="0060774B" w:rsidP="0060774B">
      <w:pPr>
        <w:numPr>
          <w:ilvl w:val="0"/>
          <w:numId w:val="11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Одинокие родители получают вычеты в двойном размере.</w:t>
      </w:r>
    </w:p>
    <w:p w:rsidR="0060774B" w:rsidRDefault="0060774B" w:rsidP="0060774B">
      <w:pPr>
        <w:numPr>
          <w:ilvl w:val="0"/>
          <w:numId w:val="11"/>
        </w:numPr>
        <w:spacing w:after="161" w:line="279" w:lineRule="atLeast"/>
        <w:ind w:left="0"/>
        <w:rPr>
          <w:color w:val="22284B"/>
          <w:sz w:val="19"/>
          <w:szCs w:val="19"/>
        </w:rPr>
      </w:pPr>
      <w:r>
        <w:rPr>
          <w:color w:val="22284B"/>
          <w:sz w:val="19"/>
          <w:szCs w:val="19"/>
        </w:rPr>
        <w:t>Вычеты на детей положены до месяца, пока доход родителя, облагаемый 13% налогом, с начала года не превысит 350 тыс. рублей</w:t>
      </w:r>
    </w:p>
    <w:p w:rsidR="0060774B" w:rsidRPr="0060774B" w:rsidRDefault="0060774B" w:rsidP="0060774B">
      <w:pPr>
        <w:spacing w:after="161" w:line="279" w:lineRule="atLeast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</w:p>
    <w:p w:rsidR="00F930BD" w:rsidRDefault="00F930BD"/>
    <w:sectPr w:rsidR="00F930BD" w:rsidSect="00F9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408"/>
    <w:multiLevelType w:val="multilevel"/>
    <w:tmpl w:val="5008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BD3F52"/>
    <w:multiLevelType w:val="multilevel"/>
    <w:tmpl w:val="DBBC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826862"/>
    <w:multiLevelType w:val="multilevel"/>
    <w:tmpl w:val="9E88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36F23"/>
    <w:multiLevelType w:val="multilevel"/>
    <w:tmpl w:val="E5A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9D37F3"/>
    <w:multiLevelType w:val="multilevel"/>
    <w:tmpl w:val="38F2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FD6FB4"/>
    <w:multiLevelType w:val="multilevel"/>
    <w:tmpl w:val="4322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174418"/>
    <w:multiLevelType w:val="multilevel"/>
    <w:tmpl w:val="3D62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B01C79"/>
    <w:multiLevelType w:val="multilevel"/>
    <w:tmpl w:val="EBC4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A456A"/>
    <w:multiLevelType w:val="multilevel"/>
    <w:tmpl w:val="B8F2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C208CB"/>
    <w:multiLevelType w:val="multilevel"/>
    <w:tmpl w:val="2CF8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D31FFD"/>
    <w:multiLevelType w:val="multilevel"/>
    <w:tmpl w:val="A696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0774B"/>
    <w:rsid w:val="005746BC"/>
    <w:rsid w:val="0060774B"/>
    <w:rsid w:val="006A032D"/>
    <w:rsid w:val="00B44516"/>
    <w:rsid w:val="00F9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D"/>
  </w:style>
  <w:style w:type="paragraph" w:styleId="1">
    <w:name w:val="heading 1"/>
    <w:basedOn w:val="a"/>
    <w:next w:val="a"/>
    <w:link w:val="10"/>
    <w:uiPriority w:val="9"/>
    <w:qFormat/>
    <w:rsid w:val="00607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7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0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7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7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0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382">
          <w:marLeft w:val="0"/>
          <w:marRight w:val="0"/>
          <w:marTop w:val="344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4605">
                  <w:marLeft w:val="0"/>
                  <w:marRight w:val="129"/>
                  <w:marTop w:val="0"/>
                  <w:marBottom w:val="0"/>
                  <w:divBdr>
                    <w:top w:val="single" w:sz="4" w:space="4" w:color="7988A8"/>
                    <w:left w:val="single" w:sz="4" w:space="9" w:color="7988A8"/>
                    <w:bottom w:val="single" w:sz="4" w:space="4" w:color="7988A8"/>
                    <w:right w:val="single" w:sz="4" w:space="9" w:color="7988A8"/>
                  </w:divBdr>
                </w:div>
                <w:div w:id="1365910400">
                  <w:marLeft w:val="0"/>
                  <w:marRight w:val="129"/>
                  <w:marTop w:val="0"/>
                  <w:marBottom w:val="0"/>
                  <w:divBdr>
                    <w:top w:val="single" w:sz="4" w:space="4" w:color="7988A8"/>
                    <w:left w:val="single" w:sz="4" w:space="9" w:color="7988A8"/>
                    <w:bottom w:val="single" w:sz="4" w:space="4" w:color="7988A8"/>
                    <w:right w:val="single" w:sz="4" w:space="9" w:color="7988A8"/>
                  </w:divBdr>
                </w:div>
              </w:divsChild>
            </w:div>
            <w:div w:id="6230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75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28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694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bank.ru/blog/nalogovye-vychety-2023-goda-kakimi-byvayut-i-kak-ikh-poluchit/" TargetMode="External"/><Relationship Id="rId13" Type="http://schemas.openxmlformats.org/officeDocument/2006/relationships/hyperlink" Target="https://expobank.ru/blog/nalogovye-vychety-2023-goda-kakimi-byvayut-i-kak-ikh-poluch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xpobank.ru/blog/nalogovye-vychety-2023-goda-kakimi-byvayut-i-kak-ikh-poluchit/" TargetMode="External"/><Relationship Id="rId12" Type="http://schemas.openxmlformats.org/officeDocument/2006/relationships/hyperlink" Target="https://expobank.ru/blog/nalogovye-vychety-2023-goda-kakimi-byvayut-i-kak-ikh-poluchit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xpobank.ru/blog/nalogovye-vychety-2023-goda-kakimi-byvayut-i-kak-ikh-poluchi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expobank.ru/blog/nalogovye-vychety-2023-goda-kakimi-byvayut-i-kak-ikh-poluchi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xpobank.ru/blog/nalogovye-vychety-2023-goda-kakimi-byvayut-i-kak-ikh-poluchit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6ED7E-9C8E-4862-80D2-A6888F51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2024-09-11T08:42:00Z</dcterms:created>
  <dcterms:modified xsi:type="dcterms:W3CDTF">2024-09-11T09:00:00Z</dcterms:modified>
</cp:coreProperties>
</file>