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ED" w:rsidRPr="003877ED" w:rsidRDefault="003877ED" w:rsidP="003877E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877ED" w:rsidRPr="003877ED" w:rsidRDefault="003877ED" w:rsidP="003877E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3877ED" w:rsidRPr="003877ED" w:rsidRDefault="003877ED" w:rsidP="003877E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77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3877ED" w:rsidRPr="003877ED" w:rsidRDefault="003877ED" w:rsidP="003877ED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3877E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245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877ED">
        <w:rPr>
          <w:b/>
          <w:sz w:val="28"/>
          <w:szCs w:val="28"/>
        </w:rPr>
        <w:t>2. Стандарт предоставления муниципальной услуги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«Заключение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развитии,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разграничена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лицам».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«Нерчинско-Заводский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район».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Организация,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принимающая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обеспечении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регистрации,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краю.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организации.</w:t>
      </w:r>
    </w:p>
    <w:p w:rsidR="003877ED" w:rsidRPr="003877ED" w:rsidRDefault="003877ED" w:rsidP="003877ED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877ED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Подписанный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развитии,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разграничена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лицам.</w:t>
      </w:r>
    </w:p>
    <w:p w:rsidR="003877ED" w:rsidRPr="003877ED" w:rsidRDefault="003877ED" w:rsidP="003877ED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877ED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органа.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нормативно-правовых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услуги: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tgtFrame="_blank" w:history="1">
        <w:r w:rsidRPr="003877ED">
          <w:rPr>
            <w:rStyle w:val="hyperlink"/>
            <w:sz w:val="28"/>
            <w:szCs w:val="28"/>
          </w:rPr>
          <w:t>Конституцией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 w:rsidRPr="003877ED">
        <w:rPr>
          <w:sz w:val="28"/>
          <w:szCs w:val="28"/>
        </w:rPr>
        <w:t>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tgtFrame="_blank" w:history="1">
        <w:r w:rsidRPr="003877ED">
          <w:rPr>
            <w:rStyle w:val="hyperlink"/>
            <w:sz w:val="28"/>
            <w:szCs w:val="28"/>
          </w:rPr>
          <w:t>Гражданским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 w:rsidRPr="003877ED">
        <w:rPr>
          <w:sz w:val="28"/>
          <w:szCs w:val="28"/>
        </w:rPr>
        <w:t>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Pr="003877ED">
          <w:rPr>
            <w:rStyle w:val="hyperlink"/>
            <w:sz w:val="28"/>
            <w:szCs w:val="28"/>
          </w:rPr>
          <w:t>Градостроительным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2004,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290;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tgtFrame="_blank" w:history="1">
        <w:r w:rsidRPr="003877ED">
          <w:rPr>
            <w:rStyle w:val="hyperlink"/>
            <w:sz w:val="28"/>
            <w:szCs w:val="28"/>
          </w:rPr>
          <w:t>Земельным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 w:rsidRPr="003877ED">
        <w:rPr>
          <w:sz w:val="28"/>
          <w:szCs w:val="28"/>
        </w:rPr>
        <w:t>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8" w:tgtFrame="_blank" w:history="1">
        <w:r w:rsidRPr="003877ED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25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октября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2001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137-ФЗ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hyperlink r:id="rId9" w:tgtFrame="_blank" w:history="1">
        <w:r w:rsidRPr="003877ED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 w:rsidRPr="003877ED">
        <w:rPr>
          <w:sz w:val="28"/>
          <w:szCs w:val="28"/>
        </w:rPr>
        <w:t>»;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171-ФЗ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0" w:tgtFrame="_blank" w:history="1">
        <w:r w:rsidRPr="003877ED">
          <w:rPr>
            <w:rStyle w:val="hyperlink"/>
            <w:sz w:val="28"/>
            <w:szCs w:val="28"/>
          </w:rPr>
          <w:t>Земельный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дополнениями);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1" w:tgtFrame="_blank" w:history="1">
        <w:r w:rsidRPr="003877ED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21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1997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122-ФЗ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ним»;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lastRenderedPageBreak/>
        <w:t>Федеральным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2" w:tgtFrame="_blank" w:history="1">
        <w:r w:rsidRPr="003877ED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27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2010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210-ФЗ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услуг»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2010,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168);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hyperlink r:id="rId13" w:tgtFrame="_blank" w:history="1">
        <w:r w:rsidRPr="003877ED">
          <w:rPr>
            <w:rStyle w:val="hyperlink"/>
            <w:sz w:val="28"/>
            <w:szCs w:val="28"/>
          </w:rPr>
          <w:t>1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апреля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2009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152-ЗЗК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края»;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административным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регламентом;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tgtFrame="_blank" w:history="1">
        <w:r w:rsidRPr="003877ED">
          <w:rPr>
            <w:rStyle w:val="hyperlink"/>
            <w:sz w:val="28"/>
            <w:szCs w:val="28"/>
          </w:rPr>
          <w:t>Уставом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муниципального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района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«Нерчинско-Заводский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район»</w:t>
        </w:r>
      </w:hyperlink>
      <w:r w:rsidRPr="003877ED">
        <w:rPr>
          <w:sz w:val="28"/>
          <w:szCs w:val="28"/>
        </w:rPr>
        <w:t>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сфере.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услуги: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2.8.1.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заявителем,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услуги: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заявление,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составленное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приложению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№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регламенту;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заявителя;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правомочия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заявителя.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услуги: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действия;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пунктом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2.8.1.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регламента;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серьёзные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повреждения,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однозначно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истолковать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содержание,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подчистки,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приписки,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зачёркнутые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неоговоренные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исправления;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карандашом;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поддаются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прочтению;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предоставленные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составлены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иностранном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надлежащим</w:t>
      </w:r>
      <w:proofErr w:type="gramEnd"/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заверенного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язык.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877ED">
        <w:rPr>
          <w:b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статьи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46.2</w:t>
      </w:r>
      <w:r>
        <w:rPr>
          <w:sz w:val="28"/>
          <w:szCs w:val="28"/>
        </w:rPr>
        <w:t xml:space="preserve"> </w:t>
      </w:r>
      <w:hyperlink r:id="rId15" w:tgtFrame="_blank" w:history="1">
        <w:r w:rsidRPr="003877ED">
          <w:rPr>
            <w:rStyle w:val="hyperlink"/>
            <w:sz w:val="28"/>
            <w:szCs w:val="28"/>
          </w:rPr>
          <w:t>Градостроительного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 w:rsidRPr="003877ED">
        <w:rPr>
          <w:sz w:val="28"/>
          <w:szCs w:val="28"/>
        </w:rPr>
        <w:t>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статьи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46.2</w:t>
      </w:r>
      <w:r>
        <w:rPr>
          <w:sz w:val="28"/>
          <w:szCs w:val="28"/>
        </w:rPr>
        <w:t xml:space="preserve"> </w:t>
      </w:r>
      <w:hyperlink r:id="rId16" w:tgtFrame="_blank" w:history="1">
        <w:r w:rsidRPr="003877ED">
          <w:rPr>
            <w:rStyle w:val="hyperlink"/>
            <w:sz w:val="28"/>
            <w:szCs w:val="28"/>
          </w:rPr>
          <w:t>Градостроительного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3877ED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(если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иное)</w:t>
      </w:r>
      <w:proofErr w:type="gramStart"/>
      <w:r w:rsidRPr="003877ED">
        <w:rPr>
          <w:sz w:val="28"/>
          <w:szCs w:val="28"/>
        </w:rPr>
        <w:t>.»</w:t>
      </w:r>
      <w:proofErr w:type="gramEnd"/>
      <w:r w:rsidRPr="003877ED">
        <w:rPr>
          <w:sz w:val="28"/>
          <w:szCs w:val="28"/>
        </w:rPr>
        <w:t>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</w:t>
      </w:r>
      <w:r w:rsidRPr="003877ED">
        <w:rPr>
          <w:rStyle w:val="hyperlink"/>
          <w:sz w:val="28"/>
          <w:szCs w:val="28"/>
        </w:rPr>
        <w:t>приложение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№</w:t>
      </w:r>
      <w:r>
        <w:rPr>
          <w:rStyle w:val="hyperlink"/>
          <w:sz w:val="28"/>
          <w:szCs w:val="28"/>
        </w:rPr>
        <w:t xml:space="preserve"> </w:t>
      </w:r>
      <w:r w:rsidRPr="003877ED">
        <w:rPr>
          <w:rStyle w:val="hyperlink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регламенту)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постановлению.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lastRenderedPageBreak/>
        <w:t>2.12.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бесплатно.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органа.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мин.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мин.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Администрации.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«посадочными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местами»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(стульями).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столами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Отдела,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компьютерами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оргтехникой.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2.15.1.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Качественными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являются: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простота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ясность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каналов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информации.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2.15.2.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Количественными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являются: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удобный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уполномоченной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организации;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удобное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уполномоченной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организации;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услуги;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услуги.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877ED">
        <w:rPr>
          <w:b/>
          <w:sz w:val="28"/>
          <w:szCs w:val="28"/>
        </w:rPr>
        <w:t>2.15.3. Показателями качества муниципальной услуги являются: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точность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заявителей;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многофункционального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центра;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информационно-телекоммуникационных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технологий.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2.15.4.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Количественными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являются: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строгое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Административным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регламентом;</w:t>
      </w:r>
    </w:p>
    <w:p w:rsidR="003877ED" w:rsidRPr="003877ED" w:rsidRDefault="003877ED" w:rsidP="003877ED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обоснованных</w:t>
      </w:r>
      <w:r>
        <w:rPr>
          <w:sz w:val="28"/>
          <w:szCs w:val="28"/>
        </w:rPr>
        <w:t xml:space="preserve"> </w:t>
      </w:r>
      <w:proofErr w:type="gramStart"/>
      <w:r w:rsidRPr="003877ED">
        <w:rPr>
          <w:sz w:val="28"/>
          <w:szCs w:val="28"/>
        </w:rPr>
        <w:t>обжалований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органа.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7ED">
        <w:rPr>
          <w:sz w:val="28"/>
          <w:szCs w:val="28"/>
        </w:rPr>
        <w:t>2.15.5.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информационно-коммуникационных</w:t>
      </w:r>
      <w:r>
        <w:rPr>
          <w:sz w:val="28"/>
          <w:szCs w:val="28"/>
        </w:rPr>
        <w:t xml:space="preserve"> </w:t>
      </w:r>
      <w:r w:rsidRPr="003877ED">
        <w:rPr>
          <w:sz w:val="28"/>
          <w:szCs w:val="28"/>
        </w:rPr>
        <w:t>технологий.</w:t>
      </w:r>
    </w:p>
    <w:p w:rsidR="003877ED" w:rsidRPr="003877ED" w:rsidRDefault="003877ED" w:rsidP="003877E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79E" w:rsidRPr="003877ED" w:rsidRDefault="00E7079E">
      <w:pPr>
        <w:rPr>
          <w:rFonts w:ascii="Times New Roman" w:hAnsi="Times New Roman" w:cs="Times New Roman"/>
          <w:sz w:val="28"/>
          <w:szCs w:val="28"/>
        </w:rPr>
      </w:pPr>
    </w:p>
    <w:sectPr w:rsidR="00E7079E" w:rsidRPr="003877ED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ED"/>
    <w:rsid w:val="003877ED"/>
    <w:rsid w:val="003B01FE"/>
    <w:rsid w:val="00921892"/>
    <w:rsid w:val="00E21B3C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8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877ED"/>
  </w:style>
  <w:style w:type="paragraph" w:customStyle="1" w:styleId="13">
    <w:name w:val="13"/>
    <w:basedOn w:val="a"/>
    <w:rsid w:val="0038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19E429D-7874-4193-AFBD-E683538D976C" TargetMode="External"/><Relationship Id="rId13" Type="http://schemas.openxmlformats.org/officeDocument/2006/relationships/hyperlink" Target="https://pravo-search.minjust.ru/bigs/showDocument.html?id=BFA418A0-A90A-451F-8668-C5077540E96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FAB97FEE-1BF1-4535-B011-2658FBCAF500" TargetMode="External"/><Relationship Id="rId5" Type="http://schemas.openxmlformats.org/officeDocument/2006/relationships/hyperlink" Target="https://pravo-search.minjust.ru/bigs/showDocument.html?id=63D77A7C-196B-40AD-BFE9-C9EDF20A9C93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1B1D2B01-EF46-4344-AB8C-133CA45C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dcterms:created xsi:type="dcterms:W3CDTF">2023-03-13T12:53:00Z</dcterms:created>
  <dcterms:modified xsi:type="dcterms:W3CDTF">2023-03-13T13:09:00Z</dcterms:modified>
</cp:coreProperties>
</file>