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025CF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5C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МУНИЦИПАЛЬНОГО РАЙОНА</w:t>
      </w:r>
    </w:p>
    <w:p w:rsidR="001C2F05" w:rsidRPr="00025CF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5C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«НЕРЧИНСКО-ЗАВОДСКИЙ РАЙОН»</w:t>
      </w:r>
    </w:p>
    <w:p w:rsidR="001C2F05" w:rsidRPr="00025CF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2F05" w:rsidRPr="00025CF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5C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05" w:rsidRPr="005C654C" w:rsidRDefault="001C2F05" w:rsidP="00025CF2">
      <w:pPr>
        <w:widowControl w:val="0"/>
        <w:tabs>
          <w:tab w:val="left" w:pos="76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CF2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452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684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1F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ИНЫХ МЕЖБЮДЖЕТНЫ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 ТРАНСФЕРТОВ, ПРЕДОСТАВЛЯЕМЫХ В 2021 ГОДУ ИЗ БЮДЖЕТА МУНИЦИПАЛЬНОГО РАЙОНА «НЕРЧИНСКО-ЗАВОДСКИЙ РАЙОН» </w:t>
      </w:r>
      <w:r w:rsidR="00684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КОМИТЕТУ ОБРАЗОВАНИЯ АДМИНИСТРАЦИИ МУНИЦИПАЛЬНОГО РАЙОНА «НЕРЧИНСКО-ЗАВОДСКИЙ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84A39" w:rsidRPr="00684A39" w:rsidRDefault="00B06B3C" w:rsidP="00684A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иные межбюджетные трансферты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A39" w:rsidRPr="00684A39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1C2F05" w:rsidRPr="00B06B3C" w:rsidRDefault="00B06B3C" w:rsidP="00684A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A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мероприятий, направленных на обновление материально-технической базы</w:t>
      </w:r>
      <w:r w:rsidRPr="00684A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школ района</w:t>
      </w:r>
      <w:r w:rsidR="007377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8475200,0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четыреста семьдесят пять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34E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="001C2F05" w:rsidRPr="00B06B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B06B3C" w:rsidP="001C2F0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1C2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решение опубликовать (обнародовать) в газете «Советское Приаргунье»,  разместить на официальном сайте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1C2F05" w:rsidRPr="005C654C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Default="001C2F05" w:rsidP="001C2F0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2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452</w:t>
      </w: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1B4A02" w:rsidRDefault="001C2F05" w:rsidP="001C2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025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73774C" w:rsidRPr="0073774C" w:rsidRDefault="00A17B09" w:rsidP="00025C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 предоставлении  </w:t>
      </w:r>
      <w:r w:rsidR="0002560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иных межбюджетных трансфертов, предоставляемых в 2021 году 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4033D7"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7377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hAnsi="Times New Roman" w:cs="Times New Roman"/>
          <w:b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73774C" w:rsidRPr="0073774C" w:rsidRDefault="0073774C" w:rsidP="00025C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025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A17B09">
      <w:pPr>
        <w:shd w:val="clear" w:color="auto" w:fill="FFFFFF"/>
        <w:tabs>
          <w:tab w:val="left" w:leader="underscore" w:pos="9498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73774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2B2E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74C" w:rsidRPr="0073774C"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района «Нерчинско-Заводский район»</w:t>
      </w:r>
      <w:r w:rsidR="0073774C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Куликова Валерия А</w:t>
      </w:r>
      <w:r w:rsidR="007377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льбертовича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B2E1F"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5B76C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</w:t>
      </w:r>
      <w:r w:rsidRPr="002B2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2B2E1F">
        <w:rPr>
          <w:rFonts w:ascii="Times New Roman" w:hAnsi="Times New Roman"/>
          <w:bCs/>
          <w:sz w:val="28"/>
          <w:szCs w:val="28"/>
        </w:rPr>
        <w:t xml:space="preserve">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 82 от 04.08.2021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</w:p>
    <w:p w:rsidR="00A17B09" w:rsidRPr="00FB006D" w:rsidRDefault="00A17B09" w:rsidP="00A17B09">
      <w:pPr>
        <w:shd w:val="clear" w:color="auto" w:fill="FFFFFF"/>
        <w:spacing w:after="0"/>
        <w:ind w:righ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A17B09" w:rsidRPr="00FD3596" w:rsidRDefault="00A17B09" w:rsidP="00A17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Предметом настоящего Соглашения является предоставление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</w:t>
      </w:r>
      <w:r w:rsidR="005B76C7">
        <w:rPr>
          <w:rFonts w:ascii="Times New Roman" w:hAnsi="Times New Roman" w:cs="Times New Roman"/>
          <w:sz w:val="28"/>
          <w:szCs w:val="28"/>
        </w:rPr>
        <w:t>у</w:t>
      </w:r>
      <w:r w:rsidR="005B76C7" w:rsidRPr="0073774C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«Нерчинско-Заводский район»</w:t>
      </w:r>
      <w:r w:rsidR="005B76C7">
        <w:rPr>
          <w:rFonts w:ascii="Times New Roman" w:hAnsi="Times New Roman" w:cs="Times New Roman"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иного межбюджетного трансферта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ной межбюджетный трансферт),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</w:t>
      </w:r>
      <w:r w:rsidR="00C41D3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нсового обеспечения мероприятий, </w:t>
      </w:r>
      <w:r w:rsidRPr="00FB00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направленных на </w:t>
      </w:r>
      <w:r w:rsidR="00C311D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2B2E1F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5B76C7">
        <w:rPr>
          <w:rFonts w:ascii="Times New Roman" w:hAnsi="Times New Roman"/>
          <w:bCs/>
          <w:sz w:val="28"/>
          <w:szCs w:val="28"/>
        </w:rPr>
        <w:t>образовательных школ района</w:t>
      </w:r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proofErr w:type="gramStart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согласно Приложения</w:t>
      </w:r>
      <w:proofErr w:type="gramEnd"/>
      <w:r w:rsidR="00FD359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№ 1.</w:t>
      </w:r>
      <w:r w:rsidR="00C311D6" w:rsidRPr="00FD35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A17B09" w:rsidRPr="00FB006D" w:rsidRDefault="00A17B09" w:rsidP="00A17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FD35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FD35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Pr="00FD359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иного межбюджетного</w:t>
      </w:r>
      <w:r w:rsidRPr="00FB006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трансферта</w:t>
      </w:r>
    </w:p>
    <w:p w:rsidR="00A17B09" w:rsidRPr="00E37FEB" w:rsidRDefault="00A17B09" w:rsidP="00A17B09">
      <w:pPr>
        <w:shd w:val="clear" w:color="auto" w:fill="FFFFFF"/>
        <w:tabs>
          <w:tab w:val="left" w:leader="underscore" w:pos="4838"/>
          <w:tab w:val="left" w:leader="underscore" w:pos="6230"/>
          <w:tab w:val="left" w:leader="underscore" w:pos="7166"/>
        </w:tabs>
        <w:spacing w:after="0" w:line="240" w:lineRule="auto"/>
        <w:ind w:left="10" w:right="2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Иной межбюджетный трансферт предоставляется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указанные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8475200,0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четыреста семьдесят пять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34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предоставляемая</w:t>
      </w:r>
      <w:r w:rsidR="005B76C7"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5B76C7" w:rsidRPr="0073774C">
        <w:rPr>
          <w:rFonts w:ascii="Times New Roman" w:hAnsi="Times New Roman" w:cs="Times New Roman"/>
          <w:sz w:val="28"/>
          <w:szCs w:val="28"/>
        </w:rPr>
        <w:t>Комитет</w:t>
      </w:r>
      <w:r w:rsidR="005B76C7">
        <w:rPr>
          <w:rFonts w:ascii="Times New Roman" w:hAnsi="Times New Roman" w:cs="Times New Roman"/>
          <w:sz w:val="28"/>
          <w:szCs w:val="28"/>
        </w:rPr>
        <w:t>у</w:t>
      </w:r>
      <w:r w:rsidR="005B76C7" w:rsidRPr="0073774C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«Нерчинско-Заводский район»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proofErr w:type="gramEnd"/>
      <w:r w:rsidR="00BB4F39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732" w:rsidRPr="00FB006D" w:rsidRDefault="00E11732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E37FEB" w:rsidRDefault="00A17B09" w:rsidP="00A17B0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Pr="00E37FE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иного межбюджетного трансферта</w:t>
      </w:r>
    </w:p>
    <w:p w:rsidR="00A17B09" w:rsidRPr="00E37FEB" w:rsidRDefault="00A17B09" w:rsidP="00A17B0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Иной межбюджетный трансферт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трансфертов: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A17B09">
      <w:pPr>
        <w:shd w:val="clear" w:color="auto" w:fill="FFFFFF"/>
        <w:tabs>
          <w:tab w:val="left" w:pos="1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A17B09">
      <w:pPr>
        <w:shd w:val="clear" w:color="auto" w:fill="FFFFFF"/>
        <w:tabs>
          <w:tab w:val="left" w:pos="142"/>
        </w:tabs>
        <w:spacing w:after="0" w:line="240" w:lineRule="auto"/>
        <w:ind w:left="29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right="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A17B09">
      <w:pPr>
        <w:shd w:val="clear" w:color="auto" w:fill="FFFFFF"/>
        <w:tabs>
          <w:tab w:val="left" w:leader="underscore" w:pos="7877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A17B09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A17B09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lef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A17B09">
      <w:pPr>
        <w:shd w:val="clear" w:color="auto" w:fill="FFFFFF"/>
        <w:tabs>
          <w:tab w:val="left" w:pos="14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иного межбюджетного трансферта 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7C1C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It2Jgx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Соглашением </w:t>
      </w:r>
    </w:p>
    <w:p w:rsidR="00A17B09" w:rsidRPr="00FB006D" w:rsidRDefault="00A17B09" w:rsidP="00A17B09">
      <w:pPr>
        <w:shd w:val="clear" w:color="auto" w:fill="FFFFFF"/>
        <w:tabs>
          <w:tab w:val="left" w:pos="1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 межбюджетный трансферт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A17B09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иного межбюджетного трансферта,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иного межбюджетного трансферта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в размере 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A17B09" w:rsidRPr="00FB006D" w:rsidRDefault="00A17B09" w:rsidP="00A17B09">
      <w:pPr>
        <w:shd w:val="clear" w:color="auto" w:fill="FFFFFF"/>
        <w:tabs>
          <w:tab w:val="left" w:pos="1426"/>
        </w:tabs>
        <w:spacing w:after="0" w:line="240" w:lineRule="auto"/>
        <w:ind w:left="1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7B09" w:rsidRPr="00E37FEB" w:rsidRDefault="00A17B09" w:rsidP="00A17B09">
      <w:pPr>
        <w:shd w:val="clear" w:color="auto" w:fill="FFFFFF"/>
        <w:tabs>
          <w:tab w:val="left" w:leader="underscore" w:pos="8146"/>
        </w:tabs>
        <w:spacing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A17B09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A17B09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приостанавливать предоставление иного межбюджетного трансферта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иного межбюджетного трансферта,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A17B09">
      <w:pPr>
        <w:shd w:val="clear" w:color="auto" w:fill="FFFFFF"/>
        <w:tabs>
          <w:tab w:val="left" w:pos="14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иного межбюджетного трансферта,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иных межбюджетных трансфертов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A17B09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A17B09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left="24" w:firstLine="55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обеспечения которых является иной межбюджетный тра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нсфе</w:t>
      </w:r>
      <w:proofErr w:type="gramStart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 в ср</w:t>
      </w:r>
      <w:proofErr w:type="gramEnd"/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иных межбюджетных трансфертов;</w:t>
      </w:r>
    </w:p>
    <w:p w:rsidR="00A17B09" w:rsidRPr="00FB006D" w:rsidRDefault="00A17B09" w:rsidP="00A17B09">
      <w:pPr>
        <w:shd w:val="clear" w:color="auto" w:fill="FFFFFF"/>
        <w:tabs>
          <w:tab w:val="left" w:leader="underscore" w:pos="9149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пунктом 4.2.3 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A17B09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A17B09">
      <w:pPr>
        <w:shd w:val="clear" w:color="auto" w:fill="FFFFFF"/>
        <w:tabs>
          <w:tab w:val="left" w:pos="1704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иной межбюджетный трансферт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A17B09">
      <w:pPr>
        <w:shd w:val="clear" w:color="auto" w:fill="FFFFFF"/>
        <w:tabs>
          <w:tab w:val="left" w:pos="14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A17B09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A17B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A17B09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B09" w:rsidRPr="00FB006D" w:rsidRDefault="00A17B09" w:rsidP="00A17B09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34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документов. При </w:t>
      </w:r>
      <w:proofErr w:type="spell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недостижении</w:t>
      </w:r>
      <w:proofErr w:type="spell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A17B09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right="-73" w:firstLine="567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иных межбюджетных трансфертов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A17B09">
      <w:pPr>
        <w:shd w:val="clear" w:color="auto" w:fill="FFFFFF"/>
        <w:tabs>
          <w:tab w:val="left" w:pos="1104"/>
        </w:tabs>
        <w:spacing w:after="0" w:line="240" w:lineRule="auto"/>
        <w:ind w:right="46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A17B09" w:rsidRPr="00FB006D" w:rsidRDefault="00A17B09" w:rsidP="00A17B09">
      <w:pPr>
        <w:shd w:val="clear" w:color="auto" w:fill="FFFFFF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A17B09">
      <w:pPr>
        <w:tabs>
          <w:tab w:val="left" w:pos="312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FB006D" w:rsidTr="00A17B09"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856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района «Нерчинско-Заводский район»</w:t>
            </w:r>
          </w:p>
          <w:p w:rsidR="005B76C7" w:rsidRDefault="005B76C7" w:rsidP="005B76C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09" w:rsidRPr="00D14856" w:rsidRDefault="00A17B09" w:rsidP="00507851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5616D1" w:rsidRPr="00FB006D" w:rsidRDefault="005B76C7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76630445</w:t>
            </w:r>
          </w:p>
        </w:tc>
      </w:tr>
      <w:tr w:rsidR="00A17B09" w:rsidRPr="00FB006D" w:rsidTr="005B76C7">
        <w:trPr>
          <w:trHeight w:val="797"/>
        </w:trPr>
        <w:tc>
          <w:tcPr>
            <w:tcW w:w="4785" w:type="dxa"/>
          </w:tcPr>
          <w:p w:rsidR="00A17B09" w:rsidRPr="00FB006D" w:rsidRDefault="001D68E2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674370, Забайкальский край, Нерчинско-Заводский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Нерчинский 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  <w:p w:rsidR="00A17B09" w:rsidRPr="00FB006D" w:rsidRDefault="00A17B09" w:rsidP="005B7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FB006D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7514000932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751401001</w:t>
            </w:r>
          </w:p>
          <w:p w:rsidR="005616D1" w:rsidRPr="00FB006D" w:rsidRDefault="005616D1" w:rsidP="002360D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FB006D" w:rsidTr="00A17B09">
        <w:tc>
          <w:tcPr>
            <w:tcW w:w="4785" w:type="dxa"/>
          </w:tcPr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Default="001D68E2" w:rsidP="001D68E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FB006D" w:rsidRDefault="001D68E2" w:rsidP="001D68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FB006D" w:rsidRDefault="00A17B09" w:rsidP="00A42952">
            <w:pPr>
              <w:tabs>
                <w:tab w:val="left" w:pos="31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Чита Банка России//УФК по Забайкальскому краю</w:t>
            </w:r>
          </w:p>
          <w:p w:rsidR="005B76C7" w:rsidRDefault="005B76C7" w:rsidP="005B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B76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03231643766300009100</w:t>
            </w:r>
          </w:p>
          <w:p w:rsidR="005616D1" w:rsidRPr="001C2F05" w:rsidRDefault="005616D1" w:rsidP="001D6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CF207C">
      <w:pPr>
        <w:tabs>
          <w:tab w:val="left" w:pos="3122"/>
          <w:tab w:val="left" w:pos="4151"/>
        </w:tabs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360D2">
        <w:tc>
          <w:tcPr>
            <w:tcW w:w="4785" w:type="dxa"/>
          </w:tcPr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D68E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Е.А.Первухин</w:t>
            </w:r>
            <w:proofErr w:type="spellEnd"/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A17B09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</w:t>
            </w: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6C7" w:rsidRDefault="005B76C7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B76C7">
              <w:rPr>
                <w:rFonts w:ascii="Times New Roman" w:hAnsi="Times New Roman" w:cs="Times New Roman"/>
                <w:sz w:val="28"/>
                <w:szCs w:val="28"/>
              </w:rPr>
              <w:t>_____    В.А.Куликов</w:t>
            </w:r>
          </w:p>
          <w:p w:rsidR="002360D2" w:rsidRPr="00FB006D" w:rsidRDefault="002360D2" w:rsidP="004B6A4E">
            <w:pPr>
              <w:tabs>
                <w:tab w:val="left" w:pos="31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5B76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5B76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иных межбюджетных трансфертов из бюджета </w:t>
      </w:r>
      <w:r w:rsidRPr="005B76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P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6C7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района «Нерчинско-Заводский район»</w:t>
      </w:r>
    </w:p>
    <w:p w:rsidR="005B76C7" w:rsidRPr="00FB006D" w:rsidRDefault="005B76C7" w:rsidP="005B7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5B76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6C7">
        <w:rPr>
          <w:rFonts w:ascii="Times New Roman" w:hAnsi="Times New Roman" w:cs="Times New Roman"/>
          <w:sz w:val="28"/>
          <w:szCs w:val="28"/>
        </w:rPr>
        <w:t>образования Администрации муниципального района «Нерчинско-Заводский район»</w:t>
      </w:r>
    </w:p>
    <w:p w:rsidR="005B76C7" w:rsidRPr="00FB006D" w:rsidRDefault="005B76C7" w:rsidP="005B76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выделить финансовые средства в сумме</w:t>
      </w:r>
      <w:r w:rsidRPr="00C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8475200,0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(восемь миллионов </w:t>
      </w:r>
      <w:r w:rsidR="003F34EC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семьдесят пять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двести</w:t>
      </w:r>
      <w:r w:rsidR="00CC0B82" w:rsidRPr="003F3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0B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мероприятий направленных </w:t>
      </w:r>
      <w:r w:rsidR="00CC0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</w:t>
      </w:r>
      <w:r w:rsidR="00CC0B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обновление материально-технической базы</w:t>
      </w:r>
      <w:r w:rsidR="00CC0B82" w:rsidRPr="002B2E1F">
        <w:rPr>
          <w:rFonts w:ascii="Times New Roman" w:hAnsi="Times New Roman"/>
          <w:bCs/>
          <w:sz w:val="28"/>
          <w:szCs w:val="28"/>
        </w:rPr>
        <w:t xml:space="preserve"> </w:t>
      </w:r>
      <w:r w:rsidR="00CC0B82">
        <w:rPr>
          <w:rFonts w:ascii="Times New Roman" w:hAnsi="Times New Roman"/>
          <w:bCs/>
          <w:sz w:val="28"/>
          <w:szCs w:val="28"/>
        </w:rPr>
        <w:t>образовательных школ района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B76C7" w:rsidRDefault="005B76C7" w:rsidP="005B76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922"/>
        <w:gridCol w:w="60"/>
        <w:gridCol w:w="1900"/>
      </w:tblGrid>
      <w:tr w:rsidR="005B76C7" w:rsidRPr="008E1B3D" w:rsidTr="007F568B">
        <w:trPr>
          <w:trHeight w:val="242"/>
        </w:trPr>
        <w:tc>
          <w:tcPr>
            <w:tcW w:w="538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2" w:type="dxa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0" w:type="dxa"/>
            <w:gridSpan w:val="2"/>
            <w:vAlign w:val="center"/>
          </w:tcPr>
          <w:p w:rsidR="005B76C7" w:rsidRPr="008E1B3D" w:rsidRDefault="005B76C7" w:rsidP="007F5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E1B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Сумма</w:t>
            </w:r>
          </w:p>
        </w:tc>
      </w:tr>
      <w:tr w:rsidR="005B76C7" w:rsidRPr="008E1B3D" w:rsidTr="007F568B">
        <w:trPr>
          <w:trHeight w:val="153"/>
        </w:trPr>
        <w:tc>
          <w:tcPr>
            <w:tcW w:w="538" w:type="dxa"/>
          </w:tcPr>
          <w:p w:rsidR="005B76C7" w:rsidRPr="008E1B3D" w:rsidRDefault="005B76C7" w:rsidP="007F568B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5" w:right="-108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8882" w:type="dxa"/>
            <w:gridSpan w:val="3"/>
          </w:tcPr>
          <w:p w:rsidR="005B76C7" w:rsidRPr="00CB468D" w:rsidRDefault="005B76C7" w:rsidP="007F568B">
            <w:pPr>
              <w:suppressAutoHyphens/>
              <w:spacing w:after="0" w:line="240" w:lineRule="auto"/>
              <w:ind w:left="-29" w:hanging="11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750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Общеобразовательные школы района: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МОУ Аргунская СОШ, МОУ Больше-Зерентуйская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Булдуруйская ООШ, МОУ Георгиевская ООШ, МОУ Горбуновская ООШ, МОУ Горно-Зерентуйская СОШ, МОУ Ивановская ООШ, МОУ Ишагинская ООШ, МОУ Михайловская СОШ, МОУ Нерчинско-Заводская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Олочинская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Уров-Ключевская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Явленская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Широковская ООШ.</w:t>
            </w:r>
            <w:proofErr w:type="gramEnd"/>
          </w:p>
          <w:p w:rsidR="001C349C" w:rsidRPr="003D257F" w:rsidRDefault="001C349C" w:rsidP="003977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риобретение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мультимедийного оборудования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1 359 349,00</w:t>
            </w:r>
          </w:p>
        </w:tc>
      </w:tr>
      <w:tr w:rsidR="001C349C" w:rsidRPr="008E1B3D" w:rsidTr="007F568B">
        <w:trPr>
          <w:trHeight w:val="84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1C349C" w:rsidP="00397723">
            <w:pPr>
              <w:suppressAutoHyphens/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МОУ Михайловская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СОШ, </w:t>
            </w:r>
            <w:proofErr w:type="gramStart"/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Погодаева д.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Интерактивная доска, 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спортивный инвентарь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vAlign w:val="center"/>
          </w:tcPr>
          <w:p w:rsidR="001C349C" w:rsidRPr="00CB468D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500 000,0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536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Общеобразовательные школы района: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МОУ Аргунская СОШ, МОУ Больше-Зерентуйская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Байкинская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Булдуруйская ООШ, МОУ Георгиевская ООШ, МОУ Горбуновская ООШ, МОУ Горно-Зерентуйская СОШ, МОУ Ивановская ООШ, МОУ Ишагинская ООШ, МОУ Михайловская СОШ, МОУ Нерчинско-Заводская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Олочинская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Уров-Ключевская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Явленская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МОУ Широковская ООШ.</w:t>
            </w:r>
            <w:proofErr w:type="gramEnd"/>
          </w:p>
          <w:p w:rsidR="001C349C" w:rsidRPr="00CB468D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бретение спортивного инвентаря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CB468D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Здание интерната, с. Нерчинский Завод, ул. Советская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Приобретение и установка окон</w:t>
            </w:r>
            <w:r w:rsidRPr="00CB468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785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Олочинская ОО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Ш, с. Олочи, пер.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,4.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Чашино-Ильдиканская</w:t>
            </w:r>
            <w:proofErr w:type="spellEnd"/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Чашино-Ильдикан, ул. Пионерская, 1.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Георгиевская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</w:t>
            </w:r>
            <w:proofErr w:type="gramStart"/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Георгиевка, ул. Садовая,32.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П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риобретение и установка окон</w:t>
            </w:r>
          </w:p>
        </w:tc>
        <w:tc>
          <w:tcPr>
            <w:tcW w:w="1900" w:type="dxa"/>
            <w:vAlign w:val="center"/>
          </w:tcPr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595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Чалбучи-Килгинская</w:t>
            </w:r>
            <w:proofErr w:type="spellEnd"/>
            <w:r w:rsidRPr="0058796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ООШ, с.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Чалбучи-Килга, ул. Верхняя, 77.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Ремонт напольного покрытия спортивного зала</w:t>
            </w:r>
          </w:p>
        </w:tc>
        <w:tc>
          <w:tcPr>
            <w:tcW w:w="1900" w:type="dxa"/>
            <w:vAlign w:val="center"/>
          </w:tcPr>
          <w:p w:rsidR="001C349C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230 200,00</w:t>
            </w:r>
          </w:p>
          <w:p w:rsidR="001C349C" w:rsidRPr="00587965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Общеобразовательные школы района: МОУ Аргунская СОШ, МОУ Горно-Зерентуйская СОШ, МОУ Нерчинско-Заводская СОШ, МОУ Больше-Зерентуйская СОШ, МОУ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Явленская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СОШ, МОУ Михайловская СОШ, МОУ Уров-Ключевская СОШ. Приобретение наглядного пособия и средства обучения для кабинета ОБЖ </w:t>
            </w:r>
          </w:p>
        </w:tc>
        <w:tc>
          <w:tcPr>
            <w:tcW w:w="1900" w:type="dxa"/>
            <w:vAlign w:val="center"/>
          </w:tcPr>
          <w:p w:rsidR="001C349C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1 050 651,00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Pr="00E953F7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МДОУ Уров-Ключевской детский сад, с. Уровс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кие Ключи, ул.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38</w:t>
            </w:r>
          </w:p>
          <w:p w:rsidR="001C349C" w:rsidRPr="00E953F7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Приобретение постельных принадлежностей.</w:t>
            </w:r>
          </w:p>
        </w:tc>
        <w:tc>
          <w:tcPr>
            <w:tcW w:w="1900" w:type="dxa"/>
            <w:vAlign w:val="center"/>
          </w:tcPr>
          <w:p w:rsidR="001C349C" w:rsidRPr="00E953F7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953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65 000,00</w:t>
            </w:r>
          </w:p>
        </w:tc>
      </w:tr>
      <w:tr w:rsidR="001C349C" w:rsidRPr="008E1B3D" w:rsidTr="007F568B">
        <w:trPr>
          <w:trHeight w:val="128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Общеобразовательные школы района: МОУ Ивановская ООШ, МОУ Горно-Зерентуйская СОШ.</w:t>
            </w:r>
          </w:p>
          <w:p w:rsidR="001C349C" w:rsidRPr="004318CA" w:rsidRDefault="001C349C" w:rsidP="003977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900" w:type="dxa"/>
            <w:vAlign w:val="center"/>
          </w:tcPr>
          <w:p w:rsidR="001C349C" w:rsidRPr="004318CA" w:rsidRDefault="001C349C" w:rsidP="00397723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200 000,00</w:t>
            </w:r>
          </w:p>
        </w:tc>
      </w:tr>
      <w:tr w:rsidR="001C349C" w:rsidRPr="008E1B3D" w:rsidTr="001C349C">
        <w:trPr>
          <w:trHeight w:val="799"/>
        </w:trPr>
        <w:tc>
          <w:tcPr>
            <w:tcW w:w="538" w:type="dxa"/>
            <w:vAlign w:val="center"/>
          </w:tcPr>
          <w:p w:rsidR="001C349C" w:rsidRPr="008E1B3D" w:rsidRDefault="001C349C" w:rsidP="005B76C7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</w:tcPr>
          <w:p w:rsidR="001C349C" w:rsidRDefault="001C349C" w:rsidP="007F56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МДОУ Больше-Зерентуйский  детский сад «Белочка»,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 Большой Зерентуй, пер. Школьный ,3</w:t>
            </w:r>
          </w:p>
          <w:p w:rsidR="001C349C" w:rsidRDefault="001C349C" w:rsidP="007F56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косметический ремонт здания</w:t>
            </w:r>
          </w:p>
        </w:tc>
        <w:tc>
          <w:tcPr>
            <w:tcW w:w="1900" w:type="dxa"/>
            <w:vAlign w:val="center"/>
          </w:tcPr>
          <w:p w:rsidR="001C349C" w:rsidRDefault="003F34EC" w:rsidP="007F568B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1 000 000,0</w:t>
            </w:r>
          </w:p>
        </w:tc>
      </w:tr>
      <w:tr w:rsidR="001C349C" w:rsidRPr="008E1B3D" w:rsidTr="007F568B">
        <w:trPr>
          <w:trHeight w:val="128"/>
        </w:trPr>
        <w:tc>
          <w:tcPr>
            <w:tcW w:w="9420" w:type="dxa"/>
            <w:gridSpan w:val="4"/>
            <w:vAlign w:val="center"/>
          </w:tcPr>
          <w:p w:rsidR="001C349C" w:rsidRPr="00587965" w:rsidRDefault="001C349C" w:rsidP="00CC0B82">
            <w:pPr>
              <w:suppressAutoHyphens/>
              <w:spacing w:after="0" w:line="240" w:lineRule="auto"/>
              <w:ind w:left="-29" w:hanging="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итого                                                          </w:t>
            </w:r>
            <w:r w:rsidR="003F34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     8 475 200,0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</w:tr>
    </w:tbl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иного межбюджетного трансферта: </w:t>
      </w:r>
    </w:p>
    <w:p w:rsidR="001C349C" w:rsidRDefault="001C349C" w:rsidP="001C3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Администрации муниципального района «Нерчинско-Заводский район»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65F">
        <w:rPr>
          <w:rFonts w:ascii="Times New Roman" w:hAnsi="Times New Roman" w:cs="Times New Roman"/>
          <w:b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>: 7514000932/751401001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 03231643766300009100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>: Отделение Чита Банка России//УФК по Забайкальскому краю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: 017601329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12E">
        <w:rPr>
          <w:rFonts w:ascii="Times New Roman" w:hAnsi="Times New Roman" w:cs="Times New Roman"/>
          <w:b/>
          <w:sz w:val="24"/>
          <w:szCs w:val="24"/>
        </w:rPr>
        <w:t>К/</w:t>
      </w:r>
      <w:proofErr w:type="spellStart"/>
      <w:r w:rsidRPr="0070512E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 40102810945370000063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 03913200220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: 674370, Забайкальский край, Нерчинско-Заводский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Нерчинский 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12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</w:t>
      </w:r>
      <w:r>
        <w:rPr>
          <w:rFonts w:ascii="Times New Roman" w:hAnsi="Times New Roman" w:cs="Times New Roman"/>
          <w:sz w:val="24"/>
          <w:szCs w:val="24"/>
        </w:rPr>
        <w:t>: 76630445</w:t>
      </w:r>
    </w:p>
    <w:p w:rsidR="001C349C" w:rsidRDefault="001C349C" w:rsidP="001C34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>: 02118993</w:t>
      </w:r>
    </w:p>
    <w:p w:rsidR="005B76C7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5B76C7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FB006D" w:rsidRDefault="003F34EC" w:rsidP="005B76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образования</w:t>
      </w:r>
      <w:r w:rsidR="005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В.А.Куликов</w:t>
      </w:r>
    </w:p>
    <w:p w:rsidR="005B76C7" w:rsidRPr="00FB006D" w:rsidRDefault="005B76C7" w:rsidP="005B76C7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9C" w:rsidRDefault="001C349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6C7" w:rsidRDefault="005B76C7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4EC" w:rsidRDefault="003F34EC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D2" w:rsidRPr="002360D2" w:rsidRDefault="00D14856" w:rsidP="002360D2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2360D2">
      <w:pPr>
        <w:shd w:val="clear" w:color="auto" w:fill="FFFFFF"/>
        <w:tabs>
          <w:tab w:val="left" w:pos="11962"/>
        </w:tabs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2360D2">
      <w:pPr>
        <w:shd w:val="clear" w:color="auto" w:fill="FFFFFF"/>
        <w:tabs>
          <w:tab w:val="left" w:pos="11962"/>
        </w:tabs>
        <w:spacing w:after="0" w:line="240" w:lineRule="auto"/>
        <w:ind w:left="68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2360D2">
      <w:pPr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2360D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1C349C" w:rsidRDefault="002360D2" w:rsidP="001C3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0D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 расходах, источником финансового обеспечения которых являются </w:t>
      </w:r>
      <w:r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иные межбюджетные трансферты из бюджета </w:t>
      </w:r>
      <w:r w:rsidR="002B74CE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, направленных </w:t>
      </w:r>
      <w:r w:rsidR="001C349C" w:rsidRPr="001C349C">
        <w:rPr>
          <w:rFonts w:ascii="Times New Roman" w:hAnsi="Times New Roman" w:cs="Times New Roman"/>
          <w:b/>
          <w:sz w:val="24"/>
          <w:szCs w:val="24"/>
        </w:rPr>
        <w:t>Комитету образования Администрации муниципального района «Нерчинско-Заводский район»</w:t>
      </w:r>
      <w:r w:rsidR="001C3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552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на обновление материально-технической базы </w:t>
      </w:r>
      <w:r w:rsidR="001C349C" w:rsidRPr="001C349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образовательных школ района </w:t>
      </w:r>
    </w:p>
    <w:p w:rsidR="00CF207C" w:rsidRPr="001C349C" w:rsidRDefault="00CF207C" w:rsidP="00CF2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CF207C" w:rsidRDefault="002360D2" w:rsidP="00236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D2" w:rsidRPr="002360D2" w:rsidRDefault="002360D2" w:rsidP="002360D2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2360D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B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7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9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tabs>
                <w:tab w:val="left" w:pos="274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629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2360D2">
            <w:pPr>
              <w:shd w:val="clear" w:color="auto" w:fill="FFFFFF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2360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360D2" w:rsidRPr="002360D2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C3F" w:rsidRDefault="002360D2" w:rsidP="002360D2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p w:rsidR="002360D2" w:rsidRPr="002360D2" w:rsidRDefault="002360D2" w:rsidP="00236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sectPr w:rsidR="002360D2" w:rsidRPr="002360D2" w:rsidSect="00CF207C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E8" w:rsidRDefault="007C1CE8">
      <w:pPr>
        <w:spacing w:after="0" w:line="240" w:lineRule="auto"/>
      </w:pPr>
      <w:r>
        <w:separator/>
      </w:r>
    </w:p>
  </w:endnote>
  <w:endnote w:type="continuationSeparator" w:id="0">
    <w:p w:rsidR="007C1CE8" w:rsidRDefault="007C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E8" w:rsidRDefault="007C1CE8">
      <w:pPr>
        <w:spacing w:after="0" w:line="240" w:lineRule="auto"/>
      </w:pPr>
      <w:r>
        <w:separator/>
      </w:r>
    </w:p>
  </w:footnote>
  <w:footnote w:type="continuationSeparator" w:id="0">
    <w:p w:rsidR="007C1CE8" w:rsidRDefault="007C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9ED" w:rsidRDefault="007C1CE8">
    <w:pPr>
      <w:pStyle w:val="1"/>
      <w:jc w:val="center"/>
    </w:pPr>
  </w:p>
  <w:p w:rsidR="00B339ED" w:rsidRDefault="007C1CE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25607"/>
    <w:rsid w:val="00025CF2"/>
    <w:rsid w:val="0003141B"/>
    <w:rsid w:val="0003434A"/>
    <w:rsid w:val="0009278D"/>
    <w:rsid w:val="000D6F52"/>
    <w:rsid w:val="000E7087"/>
    <w:rsid w:val="000F7B63"/>
    <w:rsid w:val="00101E5A"/>
    <w:rsid w:val="001144CE"/>
    <w:rsid w:val="00114C09"/>
    <w:rsid w:val="00127D1D"/>
    <w:rsid w:val="00130E49"/>
    <w:rsid w:val="00140A3F"/>
    <w:rsid w:val="00183670"/>
    <w:rsid w:val="00193605"/>
    <w:rsid w:val="001C2F05"/>
    <w:rsid w:val="001C349C"/>
    <w:rsid w:val="001D6040"/>
    <w:rsid w:val="001D68E2"/>
    <w:rsid w:val="001F3180"/>
    <w:rsid w:val="0021782D"/>
    <w:rsid w:val="00220AF8"/>
    <w:rsid w:val="002360D2"/>
    <w:rsid w:val="00281E52"/>
    <w:rsid w:val="002B2E1F"/>
    <w:rsid w:val="002B74CE"/>
    <w:rsid w:val="002C48B9"/>
    <w:rsid w:val="002C6A4D"/>
    <w:rsid w:val="002C7233"/>
    <w:rsid w:val="002E3826"/>
    <w:rsid w:val="002F7A7A"/>
    <w:rsid w:val="00356B61"/>
    <w:rsid w:val="00377798"/>
    <w:rsid w:val="003819BA"/>
    <w:rsid w:val="003C5A89"/>
    <w:rsid w:val="003F34EC"/>
    <w:rsid w:val="004033D7"/>
    <w:rsid w:val="00450F8C"/>
    <w:rsid w:val="00463B8E"/>
    <w:rsid w:val="004B6A4E"/>
    <w:rsid w:val="004E4552"/>
    <w:rsid w:val="00505421"/>
    <w:rsid w:val="00507851"/>
    <w:rsid w:val="00553107"/>
    <w:rsid w:val="005616D1"/>
    <w:rsid w:val="00587965"/>
    <w:rsid w:val="005A55F5"/>
    <w:rsid w:val="005A5D9F"/>
    <w:rsid w:val="005B76C7"/>
    <w:rsid w:val="005C32B6"/>
    <w:rsid w:val="005C3F06"/>
    <w:rsid w:val="005C5E31"/>
    <w:rsid w:val="00606B64"/>
    <w:rsid w:val="00684A39"/>
    <w:rsid w:val="006923F9"/>
    <w:rsid w:val="00720A1E"/>
    <w:rsid w:val="0073774C"/>
    <w:rsid w:val="007500CB"/>
    <w:rsid w:val="00765BFF"/>
    <w:rsid w:val="00766402"/>
    <w:rsid w:val="00790C24"/>
    <w:rsid w:val="007A5211"/>
    <w:rsid w:val="007B604D"/>
    <w:rsid w:val="007C1CE8"/>
    <w:rsid w:val="007C2467"/>
    <w:rsid w:val="007D194A"/>
    <w:rsid w:val="00873370"/>
    <w:rsid w:val="008E1B3D"/>
    <w:rsid w:val="009055A8"/>
    <w:rsid w:val="00915E7E"/>
    <w:rsid w:val="009E6F03"/>
    <w:rsid w:val="00A02A1F"/>
    <w:rsid w:val="00A17B09"/>
    <w:rsid w:val="00A42952"/>
    <w:rsid w:val="00A74BC7"/>
    <w:rsid w:val="00AA0D68"/>
    <w:rsid w:val="00AB6411"/>
    <w:rsid w:val="00AC4FC8"/>
    <w:rsid w:val="00B06B3C"/>
    <w:rsid w:val="00B200F8"/>
    <w:rsid w:val="00B54500"/>
    <w:rsid w:val="00B76BCE"/>
    <w:rsid w:val="00B95749"/>
    <w:rsid w:val="00BB4F39"/>
    <w:rsid w:val="00BD3E7E"/>
    <w:rsid w:val="00BE46ED"/>
    <w:rsid w:val="00C1467F"/>
    <w:rsid w:val="00C311D6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4E24"/>
    <w:rsid w:val="00CF207C"/>
    <w:rsid w:val="00D14856"/>
    <w:rsid w:val="00E11732"/>
    <w:rsid w:val="00E37FEB"/>
    <w:rsid w:val="00E92CAD"/>
    <w:rsid w:val="00E92E0F"/>
    <w:rsid w:val="00EA49A7"/>
    <w:rsid w:val="00F06A39"/>
    <w:rsid w:val="00F23C3F"/>
    <w:rsid w:val="00F82F3D"/>
    <w:rsid w:val="00FA7A66"/>
    <w:rsid w:val="00FB006D"/>
    <w:rsid w:val="00FB070A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5CC3E-62D6-4680-A030-12BD140B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7</cp:revision>
  <cp:lastPrinted>2021-08-20T01:46:00Z</cp:lastPrinted>
  <dcterms:created xsi:type="dcterms:W3CDTF">2021-08-11T04:29:00Z</dcterms:created>
  <dcterms:modified xsi:type="dcterms:W3CDTF">2021-08-20T05:49:00Z</dcterms:modified>
</cp:coreProperties>
</file>