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36" w:rsidRDefault="00BA3C36" w:rsidP="00BA3C3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__________ 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№_______                                                            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Pr="004A7014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ЗАКЛЮЧЕНИИ СОГЛАШЕНИЯ О 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ИНЫХ МЕЖБЮДЖЕТНЫ</w:t>
      </w:r>
      <w:r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ТРАНСФЕРТОВ, ПРЕДОСТАВЛЯЕМЫХ В 2021 ГОДУ ИЗ БЮДЖЕТА МУНИЦИПАЛЬНОГО РАЙОНА «НЕРЧИНСКО-ЗАВОДСКИЙ РАЙОН» </w:t>
      </w:r>
      <w:r w:rsidR="00E4312F" w:rsidRPr="004A7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 СЕЛЬСКОГО ПОСЕЛЕНИЯ «ШИРОКОВСКОЕ»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4A7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4A7014" w:rsidRDefault="00B06B3C" w:rsidP="004A7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12F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«Широковское»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="00E4312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СДК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4312F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="0073774C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312F" w:rsidRPr="004A701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E4312F" w:rsidRPr="004A701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73774C"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</w:t>
      </w:r>
      <w:r w:rsidRP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F05" w:rsidRPr="004A70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C2F05" w:rsidRPr="005C654C" w:rsidRDefault="00B06B3C" w:rsidP="004A7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4A7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4A7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014" w:rsidRPr="00E4312F" w:rsidRDefault="001C2F05" w:rsidP="004A7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</w:t>
      </w:r>
      <w:r w:rsid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014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70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4A7014" w:rsidRDefault="001C2F05" w:rsidP="00E43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A7014" w:rsidRDefault="004A7014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014" w:rsidRDefault="004A7014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4A7014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F05"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E4312F" w:rsidRPr="00E4312F" w:rsidRDefault="00A17B09" w:rsidP="00E431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E4312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в бюджет сельского поселения «Широковское»</w:t>
      </w: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3774C" w:rsidRPr="0073774C" w:rsidRDefault="0073774C" w:rsidP="007377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одной стороны </w:t>
      </w:r>
      <w:r w:rsidR="00FB15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Администрация </w:t>
      </w:r>
      <w:r w:rsidR="00FB7BDC" w:rsidRPr="00FB7BDC">
        <w:rPr>
          <w:rFonts w:ascii="Times New Roman" w:hAnsi="Times New Roman" w:cs="Times New Roman"/>
          <w:sz w:val="28"/>
          <w:szCs w:val="28"/>
        </w:rPr>
        <w:t>сельско</w:t>
      </w:r>
      <w:r w:rsidR="00FB1504">
        <w:rPr>
          <w:rFonts w:ascii="Times New Roman" w:hAnsi="Times New Roman" w:cs="Times New Roman"/>
          <w:sz w:val="28"/>
          <w:szCs w:val="28"/>
        </w:rPr>
        <w:t>го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1504">
        <w:rPr>
          <w:rFonts w:ascii="Times New Roman" w:hAnsi="Times New Roman" w:cs="Times New Roman"/>
          <w:sz w:val="28"/>
          <w:szCs w:val="28"/>
        </w:rPr>
        <w:t>я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  <w:r w:rsidR="00FB7BD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Александр</w:t>
      </w:r>
      <w:r w:rsidR="002C5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Георгиевич</w:t>
      </w:r>
      <w:r w:rsidR="002C5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Голятина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B7BDC">
        <w:rPr>
          <w:rFonts w:ascii="Times New Roman" w:hAnsi="Times New Roman" w:cs="Times New Roman"/>
          <w:sz w:val="28"/>
          <w:szCs w:val="28"/>
        </w:rPr>
        <w:t>в бюджет сельского поселения «Широковское»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FB7B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</w:t>
      </w:r>
      <w:r w:rsidR="00FB7BDC">
        <w:rPr>
          <w:rFonts w:ascii="Times New Roman" w:hAnsi="Times New Roman"/>
          <w:bCs/>
          <w:sz w:val="28"/>
          <w:szCs w:val="28"/>
        </w:rPr>
        <w:t>филиала СДК</w:t>
      </w:r>
      <w:r w:rsidR="00FB1504">
        <w:rPr>
          <w:rFonts w:ascii="Times New Roman" w:hAnsi="Times New Roman"/>
          <w:bCs/>
          <w:sz w:val="28"/>
          <w:szCs w:val="28"/>
        </w:rPr>
        <w:t xml:space="preserve"> в с. Широкая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2.1.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FB7BD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700000,0 (</w:t>
      </w:r>
      <w:r w:rsidR="00FB7BDC" w:rsidRPr="00FB150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FB7BDC" w:rsidRPr="00FB150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FB7BD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рублей)</w:t>
      </w:r>
      <w:r w:rsidR="00FB7BD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FB7BDC" w:rsidRP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 </w:t>
      </w:r>
      <w:r w:rsidR="00FB7BDC" w:rsidRPr="00FB7BDC">
        <w:rPr>
          <w:rFonts w:ascii="Times New Roman" w:hAnsi="Times New Roman" w:cs="Times New Roman"/>
          <w:sz w:val="28"/>
          <w:szCs w:val="28"/>
        </w:rPr>
        <w:t>сельско</w:t>
      </w:r>
      <w:r w:rsidR="00FB7BDC">
        <w:rPr>
          <w:rFonts w:ascii="Times New Roman" w:hAnsi="Times New Roman" w:cs="Times New Roman"/>
          <w:sz w:val="28"/>
          <w:szCs w:val="28"/>
        </w:rPr>
        <w:t>го поселения</w:t>
      </w:r>
      <w:r w:rsidR="00FB7BD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  <w:r w:rsidR="00FB7BDC">
        <w:rPr>
          <w:rFonts w:ascii="Times New Roman" w:hAnsi="Times New Roman" w:cs="Times New Roman"/>
          <w:sz w:val="28"/>
          <w:szCs w:val="28"/>
        </w:rPr>
        <w:t xml:space="preserve">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осуществлять контроль за соблюдением Получателем порядка,</w:t>
      </w:r>
      <w:r w:rsidR="00356C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факте(ах)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нсферт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контроля за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4.3.4.1. устранить факт(ы)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5.1 В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недостижении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FB7BDC" w:rsidP="00FB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</w: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«Широковское»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310255" w:rsidRDefault="00310255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ОГРН: 1057530016620</w:t>
            </w:r>
          </w:p>
          <w:p w:rsidR="00310255" w:rsidRPr="00FB006D" w:rsidRDefault="00310255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ОКТМО: 76630465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A17B09" w:rsidRPr="00310255" w:rsidRDefault="00310255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292C3D"/>
                <w:sz w:val="28"/>
                <w:szCs w:val="28"/>
                <w:shd w:val="clear" w:color="auto" w:fill="FFFFFF"/>
              </w:rPr>
              <w:t>674370 Забайкальский край, Нерчинско-Заводский район, село Широкая, улица Садовая, дом 8</w:t>
            </w: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Pr="00310255" w:rsidRDefault="00310255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ИНН: 7514002538</w:t>
            </w:r>
          </w:p>
          <w:p w:rsidR="00310255" w:rsidRPr="00310255" w:rsidRDefault="00310255" w:rsidP="005B7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КПП: 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(Комитет по финансам Администрации муниципального района «Нерчинско-Заводский район») л/сч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5616D1" w:rsidRPr="00310255" w:rsidRDefault="00310255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25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Р/сч: 40204810600000000178</w:t>
            </w: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__________________Е.А.Первухин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310255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«Широковское»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10255">
              <w:rPr>
                <w:rFonts w:ascii="Times New Roman" w:hAnsi="Times New Roman" w:cs="Times New Roman"/>
                <w:sz w:val="28"/>
                <w:szCs w:val="28"/>
              </w:rPr>
              <w:t>_____    А.Г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255">
              <w:rPr>
                <w:rFonts w:ascii="Times New Roman" w:hAnsi="Times New Roman" w:cs="Times New Roman"/>
                <w:sz w:val="28"/>
                <w:szCs w:val="28"/>
              </w:rPr>
              <w:t>Голятин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FB1504" w:rsidRDefault="00FB1504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504" w:rsidRDefault="00FB1504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FB006D" w:rsidRDefault="005B76C7" w:rsidP="002C55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2C55FC" w:rsidRPr="00FB7B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бюджет </w:t>
      </w:r>
      <w:r w:rsidR="002C55FC" w:rsidRPr="00FB7BDC">
        <w:rPr>
          <w:rFonts w:ascii="Times New Roman" w:hAnsi="Times New Roman" w:cs="Times New Roman"/>
          <w:sz w:val="28"/>
          <w:szCs w:val="28"/>
        </w:rPr>
        <w:t>сельско</w:t>
      </w:r>
      <w:r w:rsidR="002C55FC">
        <w:rPr>
          <w:rFonts w:ascii="Times New Roman" w:hAnsi="Times New Roman" w:cs="Times New Roman"/>
          <w:sz w:val="28"/>
          <w:szCs w:val="28"/>
        </w:rPr>
        <w:t>го поселения</w:t>
      </w:r>
      <w:r w:rsidR="002C55F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5B76C7" w:rsidRPr="00FB006D" w:rsidRDefault="005B76C7" w:rsidP="002C55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FB15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55FC" w:rsidRPr="00FB7BDC">
        <w:rPr>
          <w:rFonts w:ascii="Times New Roman" w:hAnsi="Times New Roman" w:cs="Times New Roman"/>
          <w:sz w:val="28"/>
          <w:szCs w:val="28"/>
        </w:rPr>
        <w:t>се</w:t>
      </w:r>
      <w:r w:rsidR="002C55FC">
        <w:rPr>
          <w:rFonts w:ascii="Times New Roman" w:hAnsi="Times New Roman" w:cs="Times New Roman"/>
          <w:sz w:val="28"/>
          <w:szCs w:val="28"/>
        </w:rPr>
        <w:t>льско</w:t>
      </w:r>
      <w:r w:rsidR="00FB1504">
        <w:rPr>
          <w:rFonts w:ascii="Times New Roman" w:hAnsi="Times New Roman" w:cs="Times New Roman"/>
          <w:sz w:val="28"/>
          <w:szCs w:val="28"/>
        </w:rPr>
        <w:t>го</w:t>
      </w:r>
      <w:r w:rsidR="002C55F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1504">
        <w:rPr>
          <w:rFonts w:ascii="Times New Roman" w:hAnsi="Times New Roman" w:cs="Times New Roman"/>
          <w:sz w:val="28"/>
          <w:szCs w:val="28"/>
        </w:rPr>
        <w:t>я</w:t>
      </w:r>
      <w:r w:rsidR="002C55FC" w:rsidRPr="00FB7BDC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5F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700000,0 (</w:t>
      </w:r>
      <w:r w:rsidR="002C55FC" w:rsidRPr="00FB150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2C55FC" w:rsidRPr="00FB1504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2C55FC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рублей)</w:t>
      </w:r>
      <w:r w:rsidR="00CC0B82"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15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FB15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FB15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C55F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C55FC">
        <w:rPr>
          <w:rFonts w:ascii="Times New Roman" w:hAnsi="Times New Roman"/>
          <w:bCs/>
          <w:sz w:val="28"/>
          <w:szCs w:val="28"/>
        </w:rPr>
        <w:t>для филиала СДК</w:t>
      </w:r>
      <w:r w:rsidR="00FB1504">
        <w:rPr>
          <w:rFonts w:ascii="Times New Roman" w:hAnsi="Times New Roman"/>
          <w:bCs/>
          <w:sz w:val="28"/>
          <w:szCs w:val="28"/>
        </w:rPr>
        <w:t xml:space="preserve"> в с. Широкая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2C55FC" w:rsidP="0039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Сельское поселение «Широковское» , филиал СДК, с. Широкая, ул. Центральная, 9.</w:t>
            </w:r>
          </w:p>
          <w:p w:rsidR="002C55FC" w:rsidRPr="003D257F" w:rsidRDefault="002C55FC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музыкального оборудования, театральных костюмов.</w:t>
            </w:r>
          </w:p>
        </w:tc>
        <w:tc>
          <w:tcPr>
            <w:tcW w:w="1900" w:type="dxa"/>
            <w:vAlign w:val="center"/>
          </w:tcPr>
          <w:p w:rsidR="001C349C" w:rsidRPr="00587965" w:rsidRDefault="002C55F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2C55FC" w:rsidRDefault="002C55FC" w:rsidP="002C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Сельское поселение «Широковское» , филиал СДК, с. Широкая, ул. Центральная, 9.</w:t>
            </w:r>
          </w:p>
          <w:p w:rsidR="001C349C" w:rsidRPr="00CB468D" w:rsidRDefault="002C55FC" w:rsidP="002C55FC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зрительных кресел</w:t>
            </w:r>
          </w:p>
        </w:tc>
        <w:tc>
          <w:tcPr>
            <w:tcW w:w="1900" w:type="dxa"/>
            <w:vAlign w:val="center"/>
          </w:tcPr>
          <w:p w:rsidR="001C349C" w:rsidRPr="00CB468D" w:rsidRDefault="002C55F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="001C349C"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00 000,0</w:t>
            </w:r>
            <w:r w:rsidR="001C34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203256" w:rsidRPr="008E1B3D" w:rsidTr="004D623E">
        <w:trPr>
          <w:trHeight w:val="846"/>
        </w:trPr>
        <w:tc>
          <w:tcPr>
            <w:tcW w:w="7520" w:type="dxa"/>
            <w:gridSpan w:val="3"/>
            <w:vAlign w:val="center"/>
          </w:tcPr>
          <w:p w:rsidR="00203256" w:rsidRPr="00203256" w:rsidRDefault="00203256" w:rsidP="0020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vAlign w:val="center"/>
          </w:tcPr>
          <w:p w:rsidR="00203256" w:rsidRDefault="00203256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700 000,00</w:t>
            </w:r>
          </w:p>
        </w:tc>
      </w:tr>
    </w:tbl>
    <w:p w:rsidR="00FB1504" w:rsidRDefault="00FB1504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Pr="00203256" w:rsidRDefault="00FB1504" w:rsidP="001C3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</w:t>
      </w:r>
      <w:r w:rsidR="002C55FC" w:rsidRPr="00203256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55FC" w:rsidRPr="002032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55FC" w:rsidRPr="00203256">
        <w:rPr>
          <w:rFonts w:ascii="Times New Roman" w:hAnsi="Times New Roman" w:cs="Times New Roman"/>
          <w:sz w:val="28"/>
          <w:szCs w:val="28"/>
        </w:rPr>
        <w:t xml:space="preserve"> «Широковское»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9C" w:rsidRPr="00203256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7514002538</w:t>
      </w:r>
      <w:r w:rsidRPr="00203256">
        <w:rPr>
          <w:rFonts w:ascii="Times New Roman" w:hAnsi="Times New Roman" w:cs="Times New Roman"/>
          <w:sz w:val="24"/>
          <w:szCs w:val="24"/>
        </w:rPr>
        <w:t>/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751401001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Р/сч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40204810600000000178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047601001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К/сч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3256">
        <w:rPr>
          <w:rFonts w:ascii="Times New Roman" w:hAnsi="Times New Roman" w:cs="Times New Roman"/>
          <w:sz w:val="24"/>
          <w:szCs w:val="24"/>
        </w:rPr>
        <w:t xml:space="preserve">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30101810500000000637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Л/сч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03913012110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>674370 Забайкальский край, Нерчинско-Заводский район, село Широкая, улица Садовая, дом 8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76630465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3256" w:rsidRPr="00203256">
        <w:rPr>
          <w:rFonts w:ascii="Times New Roman" w:hAnsi="Times New Roman" w:cs="Times New Roman"/>
          <w:color w:val="292C3D"/>
          <w:sz w:val="24"/>
          <w:szCs w:val="24"/>
          <w:shd w:val="clear" w:color="auto" w:fill="FFFFFF"/>
        </w:rPr>
        <w:t>78912819</w:t>
      </w: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FB1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1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«Широковское»                            А.Г.Голятин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1C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203256" w:rsidRPr="0020325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203256" w:rsidRPr="00203256">
        <w:rPr>
          <w:rFonts w:ascii="Times New Roman" w:hAnsi="Times New Roman" w:cs="Times New Roman"/>
          <w:b/>
          <w:sz w:val="28"/>
          <w:szCs w:val="28"/>
        </w:rPr>
        <w:t>сельского поселения «Широковское»</w:t>
      </w:r>
      <w:r w:rsidR="002032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 обновление материально-технической базы </w:t>
      </w:r>
      <w:r w:rsidR="002032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для филиала СДК</w:t>
      </w:r>
      <w:r w:rsidR="001C349C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9E7FF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с. Широкая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CF207C" w:rsidRDefault="002360D2" w:rsidP="0023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lastRenderedPageBreak/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03256" w:rsidRDefault="002360D2" w:rsidP="00203256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М.П.                      </w:t>
      </w:r>
    </w:p>
    <w:sectPr w:rsidR="002360D2" w:rsidRPr="00203256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9C" w:rsidRDefault="00356C9C">
      <w:pPr>
        <w:spacing w:after="0" w:line="240" w:lineRule="auto"/>
      </w:pPr>
      <w:r>
        <w:separator/>
      </w:r>
    </w:p>
  </w:endnote>
  <w:endnote w:type="continuationSeparator" w:id="0">
    <w:p w:rsidR="00356C9C" w:rsidRDefault="003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9C" w:rsidRDefault="00356C9C">
      <w:pPr>
        <w:spacing w:after="0" w:line="240" w:lineRule="auto"/>
      </w:pPr>
      <w:r>
        <w:separator/>
      </w:r>
    </w:p>
  </w:footnote>
  <w:footnote w:type="continuationSeparator" w:id="0">
    <w:p w:rsidR="00356C9C" w:rsidRDefault="0035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356C9C">
    <w:pPr>
      <w:pStyle w:val="1"/>
      <w:jc w:val="center"/>
    </w:pPr>
  </w:p>
  <w:p w:rsidR="00B339ED" w:rsidRDefault="00356C9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9278D"/>
    <w:rsid w:val="000D6F52"/>
    <w:rsid w:val="000E7087"/>
    <w:rsid w:val="000F7B63"/>
    <w:rsid w:val="00101E5A"/>
    <w:rsid w:val="00114C09"/>
    <w:rsid w:val="00127D1D"/>
    <w:rsid w:val="00130E49"/>
    <w:rsid w:val="00140A3F"/>
    <w:rsid w:val="00183670"/>
    <w:rsid w:val="00193605"/>
    <w:rsid w:val="001C2F05"/>
    <w:rsid w:val="001C349C"/>
    <w:rsid w:val="001D6040"/>
    <w:rsid w:val="001D68E2"/>
    <w:rsid w:val="00203256"/>
    <w:rsid w:val="0021782D"/>
    <w:rsid w:val="00220AF8"/>
    <w:rsid w:val="002360D2"/>
    <w:rsid w:val="00281E52"/>
    <w:rsid w:val="002B2E1F"/>
    <w:rsid w:val="002B74CE"/>
    <w:rsid w:val="002C48B9"/>
    <w:rsid w:val="002C55FC"/>
    <w:rsid w:val="002C6A4D"/>
    <w:rsid w:val="002C7233"/>
    <w:rsid w:val="002D1E33"/>
    <w:rsid w:val="002E3826"/>
    <w:rsid w:val="002F7A7A"/>
    <w:rsid w:val="00310255"/>
    <w:rsid w:val="00356B61"/>
    <w:rsid w:val="00356C9C"/>
    <w:rsid w:val="00377798"/>
    <w:rsid w:val="003819BA"/>
    <w:rsid w:val="003C5A89"/>
    <w:rsid w:val="004033D7"/>
    <w:rsid w:val="00450F8C"/>
    <w:rsid w:val="00463B8E"/>
    <w:rsid w:val="004A7014"/>
    <w:rsid w:val="004B6A4E"/>
    <w:rsid w:val="004E158C"/>
    <w:rsid w:val="004E4552"/>
    <w:rsid w:val="00505421"/>
    <w:rsid w:val="00507851"/>
    <w:rsid w:val="0054657A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7014C3"/>
    <w:rsid w:val="00720A1E"/>
    <w:rsid w:val="0073774C"/>
    <w:rsid w:val="007500CB"/>
    <w:rsid w:val="00765BFF"/>
    <w:rsid w:val="00766402"/>
    <w:rsid w:val="00790C24"/>
    <w:rsid w:val="007A5211"/>
    <w:rsid w:val="007B604D"/>
    <w:rsid w:val="007C2467"/>
    <w:rsid w:val="007D194A"/>
    <w:rsid w:val="00873370"/>
    <w:rsid w:val="008E1B3D"/>
    <w:rsid w:val="009055A8"/>
    <w:rsid w:val="00915E7E"/>
    <w:rsid w:val="009E6F03"/>
    <w:rsid w:val="009E7FF6"/>
    <w:rsid w:val="00A17B09"/>
    <w:rsid w:val="00A42952"/>
    <w:rsid w:val="00A74BC7"/>
    <w:rsid w:val="00AA0D68"/>
    <w:rsid w:val="00AB6411"/>
    <w:rsid w:val="00AC4FC8"/>
    <w:rsid w:val="00B06B3C"/>
    <w:rsid w:val="00B200F8"/>
    <w:rsid w:val="00B54500"/>
    <w:rsid w:val="00B76BCE"/>
    <w:rsid w:val="00BA3C36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0F17"/>
    <w:rsid w:val="00CD3FF7"/>
    <w:rsid w:val="00CD4E24"/>
    <w:rsid w:val="00CF207C"/>
    <w:rsid w:val="00D14856"/>
    <w:rsid w:val="00DA634C"/>
    <w:rsid w:val="00DE3F02"/>
    <w:rsid w:val="00E11732"/>
    <w:rsid w:val="00E37FEB"/>
    <w:rsid w:val="00E4312F"/>
    <w:rsid w:val="00E92CAD"/>
    <w:rsid w:val="00E92E0F"/>
    <w:rsid w:val="00EA49A7"/>
    <w:rsid w:val="00F06A39"/>
    <w:rsid w:val="00F23C3F"/>
    <w:rsid w:val="00F82F3D"/>
    <w:rsid w:val="00FA7A66"/>
    <w:rsid w:val="00FB006D"/>
    <w:rsid w:val="00FB070A"/>
    <w:rsid w:val="00FB1504"/>
    <w:rsid w:val="00FB7BDC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E758-B2FE-4B5E-AB22-8D2A5FDE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AdminNerzav</cp:lastModifiedBy>
  <cp:revision>4</cp:revision>
  <cp:lastPrinted>2021-08-11T00:55:00Z</cp:lastPrinted>
  <dcterms:created xsi:type="dcterms:W3CDTF">2021-08-11T06:34:00Z</dcterms:created>
  <dcterms:modified xsi:type="dcterms:W3CDTF">2021-08-18T05:36:00Z</dcterms:modified>
</cp:coreProperties>
</file>