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4703F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r>
              <w:rPr>
                <w:rFonts w:eastAsiaTheme="minorEastAsia"/>
                <w:b w:val="0"/>
                <w:sz w:val="24"/>
                <w:szCs w:val="22"/>
              </w:rPr>
              <w:t>Ерохина Ирина Викторовна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830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40810810</w:t>
            </w:r>
            <w:r w:rsidR="00877D1D">
              <w:rPr>
                <w:bCs/>
                <w:sz w:val="22"/>
                <w:szCs w:val="22"/>
              </w:rPr>
              <w:t>074009409810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34703F">
            <w:pPr>
              <w:ind w:left="-454" w:hanging="4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Ерохина И.</w:t>
            </w:r>
            <w:r w:rsidR="00556AE4">
              <w:rPr>
                <w:sz w:val="22"/>
                <w:szCs w:val="22"/>
              </w:rPr>
              <w:t>В.</w:t>
            </w:r>
          </w:p>
          <w:p w:rsidR="00C4386F" w:rsidRPr="002F0EBB" w:rsidRDefault="00544A1F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2092D">
              <w:rPr>
                <w:sz w:val="22"/>
                <w:szCs w:val="22"/>
              </w:rPr>
              <w:t>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32" w:rsidRDefault="00B82732" w:rsidP="00C4386F">
      <w:r>
        <w:separator/>
      </w:r>
    </w:p>
  </w:endnote>
  <w:endnote w:type="continuationSeparator" w:id="0">
    <w:p w:rsidR="00B82732" w:rsidRDefault="00B82732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32" w:rsidRDefault="00B82732" w:rsidP="00C4386F">
      <w:r>
        <w:separator/>
      </w:r>
    </w:p>
  </w:footnote>
  <w:footnote w:type="continuationSeparator" w:id="0">
    <w:p w:rsidR="00B82732" w:rsidRDefault="00B82732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01125C"/>
    <w:rsid w:val="000A2CF6"/>
    <w:rsid w:val="000D7C2C"/>
    <w:rsid w:val="000E21B2"/>
    <w:rsid w:val="00211A68"/>
    <w:rsid w:val="002439A6"/>
    <w:rsid w:val="002F0EBB"/>
    <w:rsid w:val="0034703F"/>
    <w:rsid w:val="003531AD"/>
    <w:rsid w:val="00391268"/>
    <w:rsid w:val="003B2A05"/>
    <w:rsid w:val="003C688A"/>
    <w:rsid w:val="003F0235"/>
    <w:rsid w:val="00400D42"/>
    <w:rsid w:val="0044198B"/>
    <w:rsid w:val="0046785A"/>
    <w:rsid w:val="00544A1F"/>
    <w:rsid w:val="00556AE4"/>
    <w:rsid w:val="005B4755"/>
    <w:rsid w:val="005D1331"/>
    <w:rsid w:val="005D28A4"/>
    <w:rsid w:val="00676DFE"/>
    <w:rsid w:val="006A68C6"/>
    <w:rsid w:val="00700247"/>
    <w:rsid w:val="00702865"/>
    <w:rsid w:val="00765030"/>
    <w:rsid w:val="007C4EDD"/>
    <w:rsid w:val="007E1260"/>
    <w:rsid w:val="008056AF"/>
    <w:rsid w:val="0082092D"/>
    <w:rsid w:val="00830C28"/>
    <w:rsid w:val="00877D1D"/>
    <w:rsid w:val="008F3C24"/>
    <w:rsid w:val="00924723"/>
    <w:rsid w:val="00986ECE"/>
    <w:rsid w:val="00987719"/>
    <w:rsid w:val="009A326C"/>
    <w:rsid w:val="009F42AA"/>
    <w:rsid w:val="00A31037"/>
    <w:rsid w:val="00A70D93"/>
    <w:rsid w:val="00A81499"/>
    <w:rsid w:val="00A97223"/>
    <w:rsid w:val="00B82732"/>
    <w:rsid w:val="00BD0BEB"/>
    <w:rsid w:val="00BD6FD9"/>
    <w:rsid w:val="00C4386F"/>
    <w:rsid w:val="00CB08CD"/>
    <w:rsid w:val="00CB4422"/>
    <w:rsid w:val="00D03025"/>
    <w:rsid w:val="00D56A12"/>
    <w:rsid w:val="00DC3BDD"/>
    <w:rsid w:val="00DF11C6"/>
    <w:rsid w:val="00E86891"/>
    <w:rsid w:val="00F2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2021-09-22T06:28:00Z</cp:lastPrinted>
  <dcterms:created xsi:type="dcterms:W3CDTF">2021-09-22T06:30:00Z</dcterms:created>
  <dcterms:modified xsi:type="dcterms:W3CDTF">2021-10-01T05:35:00Z</dcterms:modified>
</cp:coreProperties>
</file>