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72" w:rsidRDefault="004346E4" w:rsidP="005846D1">
      <w:pPr>
        <w:tabs>
          <w:tab w:val="left" w:pos="6000"/>
        </w:tabs>
        <w:spacing w:after="0"/>
        <w:ind w:right="0" w:firstLine="56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346E4" w:rsidRPr="005846D1" w:rsidRDefault="004346E4" w:rsidP="005846D1">
      <w:pPr>
        <w:tabs>
          <w:tab w:val="left" w:pos="6000"/>
        </w:tabs>
        <w:spacing w:after="0"/>
        <w:ind w:right="0" w:firstLine="56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4346E4" w:rsidRPr="005846D1" w:rsidRDefault="004346E4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28F1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СОВЕТ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ОКРУГА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КРАЯ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РЕШЕНИЕ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Нерчинский-Завод</w:t>
      </w:r>
      <w:proofErr w:type="spellEnd"/>
      <w:proofErr w:type="gramEnd"/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846D1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порядке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proofErr w:type="spellStart"/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Нерчинско-Заводском</w:t>
      </w:r>
      <w:proofErr w:type="spellEnd"/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76200C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муниципальном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76200C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округе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</w:p>
    <w:p w:rsidR="00470DCB" w:rsidRPr="005846D1" w:rsidRDefault="0076200C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З</w:t>
      </w:r>
      <w:r w:rsidR="00470DCB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абайкальского</w:t>
      </w:r>
      <w:r w:rsidR="005846D1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470DCB" w:rsidRPr="005846D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края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tgtFrame="_blan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</w:hyperlink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ации»,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70DCB" w:rsidRPr="005846D1" w:rsidRDefault="005846D1" w:rsidP="00470DCB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иц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Нерчинско-Заводском</w:t>
      </w:r>
      <w:proofErr w:type="spell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приложению.</w:t>
      </w:r>
    </w:p>
    <w:p w:rsidR="00470DCB" w:rsidRPr="005846D1" w:rsidRDefault="00470DCB" w:rsidP="00470DCB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(обнародования).</w:t>
      </w:r>
    </w:p>
    <w:p w:rsidR="00470DCB" w:rsidRPr="005846D1" w:rsidRDefault="00470DCB" w:rsidP="002028F1">
      <w:pPr>
        <w:spacing w:after="0"/>
        <w:ind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«Советское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Приаргунье»,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2028F1" w:rsidRPr="005846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nerzavod</w:t>
      </w:r>
      <w:proofErr w:type="spellEnd"/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.75.</w:t>
      </w:r>
      <w:proofErr w:type="spellStart"/>
      <w:r w:rsidR="002028F1" w:rsidRPr="005846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70DCB" w:rsidRPr="005846D1" w:rsidRDefault="005846D1" w:rsidP="00470DCB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5846D1" w:rsidP="005846D1">
      <w:pPr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CB" w:rsidRPr="005846D1" w:rsidRDefault="002028F1" w:rsidP="002028F1">
      <w:pPr>
        <w:tabs>
          <w:tab w:val="left" w:pos="7350"/>
        </w:tabs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</w:p>
    <w:p w:rsidR="002028F1" w:rsidRDefault="002028F1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A95E10" w:rsidRPr="005846D1" w:rsidRDefault="00A95E10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Скубьев</w:t>
      </w:r>
      <w:proofErr w:type="spellEnd"/>
    </w:p>
    <w:p w:rsidR="00470DCB" w:rsidRDefault="00470DCB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6D1" w:rsidRPr="005846D1" w:rsidRDefault="005846D1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CB" w:rsidRPr="005846D1" w:rsidRDefault="002028F1" w:rsidP="002028F1">
      <w:pPr>
        <w:tabs>
          <w:tab w:val="left" w:pos="7425"/>
        </w:tabs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3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28F1" w:rsidRDefault="002028F1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535272" w:rsidRPr="005846D1" w:rsidRDefault="00535272" w:rsidP="00470DCB">
      <w:pPr>
        <w:spacing w:after="0"/>
        <w:ind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2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Л.В. Михалёв</w:t>
      </w:r>
    </w:p>
    <w:p w:rsidR="005846D1" w:rsidRPr="005846D1" w:rsidRDefault="005846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35272" w:rsidRDefault="00535272" w:rsidP="005846D1">
      <w:pPr>
        <w:spacing w:after="0"/>
        <w:ind w:right="0"/>
        <w:jc w:val="right"/>
        <w:rPr>
          <w:rFonts w:ascii="Times New Roman" w:hAnsi="Times New Roman" w:cs="Times New Roman"/>
        </w:rPr>
      </w:pPr>
    </w:p>
    <w:p w:rsidR="002028F1" w:rsidRPr="005846D1" w:rsidRDefault="00470DCB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ПРИЛОЖЕНИ</w:t>
      </w:r>
      <w:r w:rsidR="002028F1" w:rsidRPr="005846D1">
        <w:rPr>
          <w:rFonts w:ascii="Times New Roman" w:hAnsi="Times New Roman" w:cs="Times New Roman"/>
        </w:rPr>
        <w:t>Е</w:t>
      </w:r>
    </w:p>
    <w:p w:rsidR="005846D1" w:rsidRDefault="002028F1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к</w:t>
      </w:r>
      <w:r w:rsidR="005846D1" w:rsidRPr="005846D1">
        <w:rPr>
          <w:rFonts w:ascii="Times New Roman" w:hAnsi="Times New Roman" w:cs="Times New Roman"/>
        </w:rPr>
        <w:t xml:space="preserve"> </w:t>
      </w:r>
      <w:r w:rsidRPr="005846D1">
        <w:rPr>
          <w:rFonts w:ascii="Times New Roman" w:hAnsi="Times New Roman" w:cs="Times New Roman"/>
        </w:rPr>
        <w:t>решению</w:t>
      </w:r>
      <w:r w:rsidR="005846D1" w:rsidRPr="005846D1">
        <w:rPr>
          <w:rFonts w:ascii="Times New Roman" w:hAnsi="Times New Roman" w:cs="Times New Roman"/>
        </w:rPr>
        <w:t xml:space="preserve"> </w:t>
      </w:r>
      <w:r w:rsidRPr="005846D1">
        <w:rPr>
          <w:rFonts w:ascii="Times New Roman" w:hAnsi="Times New Roman" w:cs="Times New Roman"/>
        </w:rPr>
        <w:t>Совета</w:t>
      </w:r>
      <w:r w:rsidR="005846D1" w:rsidRPr="005846D1">
        <w:rPr>
          <w:rFonts w:ascii="Times New Roman" w:hAnsi="Times New Roman" w:cs="Times New Roman"/>
        </w:rPr>
        <w:t xml:space="preserve"> </w:t>
      </w:r>
    </w:p>
    <w:p w:rsidR="002028F1" w:rsidRPr="005846D1" w:rsidRDefault="002028F1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Нерчинско-Заводского</w:t>
      </w:r>
      <w:r w:rsidR="005846D1" w:rsidRPr="005846D1">
        <w:rPr>
          <w:rFonts w:ascii="Times New Roman" w:hAnsi="Times New Roman" w:cs="Times New Roman"/>
        </w:rPr>
        <w:t xml:space="preserve"> </w:t>
      </w:r>
    </w:p>
    <w:p w:rsidR="002028F1" w:rsidRPr="005846D1" w:rsidRDefault="00470DCB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муниципального</w:t>
      </w:r>
      <w:r w:rsidR="005846D1" w:rsidRPr="005846D1">
        <w:rPr>
          <w:rFonts w:ascii="Times New Roman" w:hAnsi="Times New Roman" w:cs="Times New Roman"/>
        </w:rPr>
        <w:t xml:space="preserve"> </w:t>
      </w:r>
      <w:r w:rsidRPr="005846D1">
        <w:rPr>
          <w:rFonts w:ascii="Times New Roman" w:hAnsi="Times New Roman" w:cs="Times New Roman"/>
        </w:rPr>
        <w:t>округа</w:t>
      </w:r>
      <w:r w:rsidR="005846D1" w:rsidRPr="005846D1">
        <w:rPr>
          <w:rFonts w:ascii="Times New Roman" w:hAnsi="Times New Roman" w:cs="Times New Roman"/>
        </w:rPr>
        <w:t xml:space="preserve"> </w:t>
      </w:r>
    </w:p>
    <w:p w:rsidR="005846D1" w:rsidRPr="005846D1" w:rsidRDefault="00470DCB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Забайкальс</w:t>
      </w:r>
      <w:r w:rsidR="002028F1" w:rsidRPr="005846D1">
        <w:rPr>
          <w:rFonts w:ascii="Times New Roman" w:hAnsi="Times New Roman" w:cs="Times New Roman"/>
        </w:rPr>
        <w:t>кого</w:t>
      </w:r>
      <w:r w:rsidR="005846D1" w:rsidRPr="005846D1">
        <w:rPr>
          <w:rFonts w:ascii="Times New Roman" w:hAnsi="Times New Roman" w:cs="Times New Roman"/>
        </w:rPr>
        <w:t xml:space="preserve"> </w:t>
      </w:r>
      <w:r w:rsidR="002028F1" w:rsidRPr="005846D1">
        <w:rPr>
          <w:rFonts w:ascii="Times New Roman" w:hAnsi="Times New Roman" w:cs="Times New Roman"/>
        </w:rPr>
        <w:t>края</w:t>
      </w:r>
      <w:r w:rsidR="005846D1" w:rsidRPr="005846D1">
        <w:rPr>
          <w:rFonts w:ascii="Times New Roman" w:hAnsi="Times New Roman" w:cs="Times New Roman"/>
        </w:rPr>
        <w:t xml:space="preserve"> </w:t>
      </w:r>
    </w:p>
    <w:p w:rsidR="00470DCB" w:rsidRPr="005846D1" w:rsidRDefault="002028F1" w:rsidP="005846D1">
      <w:pPr>
        <w:spacing w:after="0"/>
        <w:ind w:right="0"/>
        <w:jc w:val="right"/>
        <w:rPr>
          <w:rFonts w:ascii="Times New Roman" w:hAnsi="Times New Roman" w:cs="Times New Roman"/>
        </w:rPr>
      </w:pPr>
      <w:r w:rsidRPr="005846D1">
        <w:rPr>
          <w:rFonts w:ascii="Times New Roman" w:hAnsi="Times New Roman" w:cs="Times New Roman"/>
        </w:rPr>
        <w:t>от</w:t>
      </w:r>
      <w:r w:rsidR="005846D1" w:rsidRPr="005846D1">
        <w:rPr>
          <w:rFonts w:ascii="Times New Roman" w:hAnsi="Times New Roman" w:cs="Times New Roman"/>
        </w:rPr>
        <w:t xml:space="preserve">  </w:t>
      </w:r>
      <w:r w:rsidR="00470DCB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5846D1" w:rsidP="005846D1">
      <w:pPr>
        <w:spacing w:after="0"/>
        <w:ind w:right="593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5846D1" w:rsidP="00470DCB">
      <w:pPr>
        <w:spacing w:after="0"/>
        <w:ind w:left="4140" w:righ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ПОРЯДОК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</w:t>
      </w:r>
      <w:r w:rsidR="002028F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униципальной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proofErr w:type="spellStart"/>
      <w:r w:rsidR="002028F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Нерчинско-Заводском</w:t>
      </w:r>
      <w:proofErr w:type="spellEnd"/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муниципальном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округе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края</w:t>
      </w:r>
    </w:p>
    <w:p w:rsidR="00470DCB" w:rsidRPr="005846D1" w:rsidRDefault="005846D1" w:rsidP="00470DCB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hd w:val="clear" w:color="auto" w:fill="FFFFFF"/>
        <w:spacing w:after="0"/>
        <w:ind w:right="0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положения</w:t>
      </w:r>
    </w:p>
    <w:p w:rsidR="00470DCB" w:rsidRPr="005846D1" w:rsidRDefault="005846D1" w:rsidP="00470DCB">
      <w:pPr>
        <w:shd w:val="clear" w:color="auto" w:fill="FFFFFF"/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конкурс).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шие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470DCB" w:rsidRPr="005846D1" w:rsidRDefault="005846D1" w:rsidP="00470DCB">
      <w:pPr>
        <w:shd w:val="clear" w:color="auto" w:fill="FFFFFF"/>
        <w:spacing w:after="0"/>
        <w:ind w:right="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hd w:val="clear" w:color="auto" w:fill="FFFFFF"/>
        <w:ind w:right="0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F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работе).</w:t>
      </w:r>
      <w:proofErr w:type="gramEnd"/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содержать: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просьбу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ментирующих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замещаемой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16),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anchor="64U0I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02.03.2007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"О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службе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Федерации"</w:t>
        </w:r>
      </w:hyperlink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Положением: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hAnsi="Times New Roman" w:cs="Times New Roman"/>
        </w:rPr>
        <w:t>(</w:t>
      </w:r>
      <w:proofErr w:type="spellStart"/>
      <w:r w:rsidR="008741BA" w:rsidRPr="005846D1">
        <w:rPr>
          <w:rFonts w:ascii="Times New Roman" w:hAnsi="Times New Roman" w:cs="Times New Roman"/>
          <w:sz w:val="28"/>
          <w:szCs w:val="28"/>
          <w:lang w:val="en-US"/>
        </w:rPr>
        <w:t>nerzavod</w:t>
      </w:r>
      <w:proofErr w:type="spellEnd"/>
      <w:r w:rsidR="008741BA" w:rsidRPr="005846D1">
        <w:rPr>
          <w:rFonts w:ascii="Times New Roman" w:hAnsi="Times New Roman" w:cs="Times New Roman"/>
          <w:sz w:val="28"/>
          <w:szCs w:val="28"/>
        </w:rPr>
        <w:t>.75.</w:t>
      </w:r>
      <w:proofErr w:type="spellStart"/>
      <w:r w:rsidR="008741BA" w:rsidRPr="005846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741BA" w:rsidRPr="005846D1">
        <w:rPr>
          <w:rFonts w:ascii="Times New Roman" w:hAnsi="Times New Roman" w:cs="Times New Roman"/>
          <w:sz w:val="28"/>
          <w:szCs w:val="28"/>
        </w:rPr>
        <w:t>)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говора;</w:t>
      </w:r>
      <w:proofErr w:type="gramEnd"/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изъявивших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конкурсе: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4;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(соответствующий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конкурс);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(службы),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жебная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(трудовая)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(служебную)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гражданина;</w:t>
      </w:r>
      <w:proofErr w:type="gramEnd"/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(службы);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прохождению;</w:t>
      </w:r>
    </w:p>
    <w:p w:rsidR="00535272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anchor="64U0I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02.03.2007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"О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службе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Федерации"</w:t>
        </w:r>
      </w:hyperlink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конами,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535272">
      <w:pPr>
        <w:shd w:val="clear" w:color="auto" w:fill="FFFFFF"/>
        <w:spacing w:after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изъявившего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служащему,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изъявившему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(копию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претендует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служащий);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претендентами;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претендует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сведений.</w:t>
      </w:r>
    </w:p>
    <w:p w:rsidR="00470DCB" w:rsidRPr="005846D1" w:rsidRDefault="00470DCB" w:rsidP="00470DCB">
      <w:pPr>
        <w:shd w:val="clear" w:color="auto" w:fill="FFFFFF"/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данином,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служащим),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изъявившим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почте.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препятствующих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прохождению,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ограничениями,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2.2.6.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процедуры: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тестирование;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тайну.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собеседованию.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9D38C9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8C9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741BA" w:rsidRPr="005846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nerzavod</w:t>
      </w:r>
      <w:proofErr w:type="spellEnd"/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.75.</w:t>
      </w:r>
      <w:proofErr w:type="spellStart"/>
      <w:r w:rsidR="008741BA" w:rsidRPr="005846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741BA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tgtFrame="_blan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сийской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Федерации</w:t>
        </w:r>
      </w:hyperlink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anchor="64U0I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"О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службе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Федерации"</w:t>
        </w:r>
      </w:hyperlink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официально-деловым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современного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ции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Российской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Федерации</w:t>
        </w:r>
      </w:hyperlink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жебного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  <w:proofErr w:type="gramEnd"/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краевых,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  <w:proofErr w:type="gramEnd"/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правильным.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(тест)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(срок)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заметок,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хр</w:t>
      </w:r>
      <w:proofErr w:type="gramEnd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отстраняется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нулевой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(руководителями)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пройденным,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завершающая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давший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показавший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кационным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3-дневный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7-дневный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формация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</w:t>
      </w:r>
      <w:r w:rsid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(nerzavod.75.ru).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участвовавших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возвращены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письменному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хранятся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уничтожению.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470DCB" w:rsidRPr="005846D1" w:rsidRDefault="005846D1" w:rsidP="00470DCB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</w:t>
      </w:r>
    </w:p>
    <w:p w:rsidR="00470DCB" w:rsidRPr="005846D1" w:rsidRDefault="005846D1" w:rsidP="00470DCB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осуществляет: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службы;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F0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век.</w:t>
      </w:r>
    </w:p>
    <w:p w:rsidR="00470DCB" w:rsidRPr="005846D1" w:rsidRDefault="00470DCB" w:rsidP="00470DCB">
      <w:pPr>
        <w:spacing w:after="0"/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повлиять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решения.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3.4.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  <w:r w:rsid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правомочным,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(только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конкурсе).</w:t>
      </w:r>
      <w:proofErr w:type="gramEnd"/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протоколируется.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расписываются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"О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данами,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претендующими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служащими,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</w:t>
      </w:r>
      <w:r w:rsid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anchor="7D20K3" w:history="1"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"О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противодействии</w:t>
        </w:r>
        <w:r w:rsidR="005846D1"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846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коррупции"</w:t>
        </w:r>
      </w:hyperlink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жащих,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(супругов)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ходам".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E4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Нерчинско-Заводского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вакантную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бедителем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470DCB" w:rsidRPr="005846D1" w:rsidRDefault="00470DCB" w:rsidP="00470DCB">
      <w:pPr>
        <w:spacing w:after="0"/>
        <w:ind w:right="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возлагается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</w:t>
      </w:r>
      <w:r w:rsidR="005846D1"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работе.</w:t>
      </w:r>
    </w:p>
    <w:p w:rsidR="00691C51" w:rsidRPr="005846D1" w:rsidRDefault="00691C51">
      <w:pPr>
        <w:rPr>
          <w:rFonts w:ascii="Times New Roman" w:hAnsi="Times New Roman" w:cs="Times New Roman"/>
          <w:sz w:val="28"/>
          <w:szCs w:val="28"/>
        </w:rPr>
      </w:pPr>
    </w:p>
    <w:sectPr w:rsidR="00691C51" w:rsidRPr="005846D1" w:rsidSect="005846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470DCB"/>
    <w:rsid w:val="0001230B"/>
    <w:rsid w:val="001F11D2"/>
    <w:rsid w:val="002028F1"/>
    <w:rsid w:val="00211CBC"/>
    <w:rsid w:val="004346E4"/>
    <w:rsid w:val="00470DCB"/>
    <w:rsid w:val="00535272"/>
    <w:rsid w:val="005846D1"/>
    <w:rsid w:val="00691C51"/>
    <w:rsid w:val="00697F01"/>
    <w:rsid w:val="0076200C"/>
    <w:rsid w:val="008741BA"/>
    <w:rsid w:val="009D38C9"/>
    <w:rsid w:val="00A6400F"/>
    <w:rsid w:val="00A95E10"/>
    <w:rsid w:val="00BA23E0"/>
    <w:rsid w:val="00D847FD"/>
    <w:rsid w:val="00DB5424"/>
    <w:rsid w:val="00F34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right="212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51"/>
  </w:style>
  <w:style w:type="paragraph" w:styleId="3">
    <w:name w:val="heading 3"/>
    <w:basedOn w:val="a"/>
    <w:link w:val="30"/>
    <w:uiPriority w:val="9"/>
    <w:qFormat/>
    <w:rsid w:val="00470DCB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0D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title">
    <w:name w:val="constitle"/>
    <w:basedOn w:val="a"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0DCB"/>
    <w:rPr>
      <w:color w:val="0000FF"/>
      <w:u w:val="single"/>
    </w:rPr>
  </w:style>
  <w:style w:type="character" w:customStyle="1" w:styleId="hyperlink">
    <w:name w:val="hyperlink"/>
    <w:basedOn w:val="a0"/>
    <w:rsid w:val="00470DCB"/>
  </w:style>
  <w:style w:type="paragraph" w:customStyle="1" w:styleId="consnormal">
    <w:name w:val="consnormal"/>
    <w:basedOn w:val="a"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70D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0306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15D4560C-D530-4955-BF7E-F734337AE80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03066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cntd.ru/document/902030664" TargetMode="External"/><Relationship Id="rId10" Type="http://schemas.openxmlformats.org/officeDocument/2006/relationships/hyperlink" Target="https://docs.cntd.ru/document/902135263" TargetMode="External"/><Relationship Id="rId4" Type="http://schemas.openxmlformats.org/officeDocument/2006/relationships/hyperlink" Target="https://pravo-search.minjust.ru/bigs/showDocument.html?id=BBF89570-6239-4CFB-BDBA-5B454C14E321" TargetMode="External"/><Relationship Id="rId9" Type="http://schemas.openxmlformats.org/officeDocument/2006/relationships/hyperlink" Target="https://pravo-search.minjust.ru/bigs/showDocument.html?id=15D4560C-D530-4955-BF7E-F734337AE8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3266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G9</dc:creator>
  <cp:lastModifiedBy>АМР</cp:lastModifiedBy>
  <cp:revision>7</cp:revision>
  <cp:lastPrinted>2023-07-05T06:18:00Z</cp:lastPrinted>
  <dcterms:created xsi:type="dcterms:W3CDTF">2023-07-04T07:25:00Z</dcterms:created>
  <dcterms:modified xsi:type="dcterms:W3CDTF">2023-07-11T13:15:00Z</dcterms:modified>
</cp:coreProperties>
</file>