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машино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2829D9">
        <w:rPr>
          <w:sz w:val="28"/>
          <w:szCs w:val="27"/>
        </w:rPr>
        <w:t>25 июля 2024 года № 36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>определения кадастровой стоимости объектов капитального строительства: зданий, помещений, сооружений, объектов незавершенного строительства, машино – мест, расположенных на территории Забайкальского края, 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 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DF7AF9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Секретарь</cp:lastModifiedBy>
  <cp:revision>2</cp:revision>
  <cp:lastPrinted>2024-04-16T05:32:00Z</cp:lastPrinted>
  <dcterms:created xsi:type="dcterms:W3CDTF">2024-08-22T00:32:00Z</dcterms:created>
  <dcterms:modified xsi:type="dcterms:W3CDTF">2024-08-22T00:32:00Z</dcterms:modified>
</cp:coreProperties>
</file>